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21 октября 2025 г. N БС-4-11/9424@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 ВОПРОСУ</w:t>
      </w:r>
    </w:p>
    <w:p>
      <w:pPr>
        <w:pStyle w:val="2"/>
        <w:jc w:val="center"/>
      </w:pPr>
      <w:r>
        <w:rPr>
          <w:sz w:val="24"/>
        </w:rPr>
        <w:t xml:space="preserve">ИСЧИСЛЕНИЯ МИНИМАЛЬНОГО ПРЕДЕЛЬНОГО СРОКА ВЛАДЕНИЯ ОБЪЕКТОМ</w:t>
      </w:r>
    </w:p>
    <w:p>
      <w:pPr>
        <w:pStyle w:val="2"/>
        <w:jc w:val="center"/>
      </w:pPr>
      <w:r>
        <w:rPr>
          <w:sz w:val="24"/>
        </w:rPr>
        <w:t xml:space="preserve">НЕДВИЖИМОГО ИМУЩЕСТВА ФИЗИЧЕСКИМ ЛИЦОМ, ЯВЛЯЮЩИМСЯ</w:t>
      </w:r>
    </w:p>
    <w:p>
      <w:pPr>
        <w:pStyle w:val="2"/>
        <w:jc w:val="center"/>
      </w:pPr>
      <w:r>
        <w:rPr>
          <w:sz w:val="24"/>
        </w:rPr>
        <w:t xml:space="preserve">ОБМАНУТЫМ ДОЛЬЩИКОМ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по вопросу исчисления минимального предельного срока владения объектом недвижимого имущества физическим лицом, являющимся обманутым дольщиком,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7" w:tooltip="&lt;Письмо&gt; ФНС России от 27.04.2022 N БС-4-11/5168@ &quot;О направлении письма Минфина России&quot; (вместе с &lt;Письмом&gt; Минфина России от 21.04.2022 N 03-04-07/35782) {КонсультантПлюс}">
        <w:r>
          <w:rPr>
            <w:sz w:val="24"/>
            <w:color w:val="0000ff"/>
          </w:rPr>
          <w:t xml:space="preserve">письме</w:t>
        </w:r>
      </w:hyperlink>
      <w:r>
        <w:rPr>
          <w:sz w:val="24"/>
        </w:rPr>
        <w:t xml:space="preserve"> Министерства финансов Российской Федерации от 21.04.2022 N 03-04-07/35782, доведенном по системе налоговых органов Российской Федерации письмом ФНС России от 27.04.2022 N БС-4-11/5168@, по указанному вопросу разъяснено, что </w:t>
      </w:r>
      <w:hyperlink w:history="0" r:id="rId8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абзацем четвертым пункта 2 статьи 217.1</w:t>
        </w:r>
      </w:hyperlink>
      <w:r>
        <w:rPr>
          <w:sz w:val="24"/>
        </w:rPr>
        <w:t xml:space="preserve"> Налогового кодекса Российской Федерации (далее - Кодекс) установлено, что в целях </w:t>
      </w:r>
      <w:hyperlink w:history="0" r:id="rId9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статьи 217.1</w:t>
        </w:r>
      </w:hyperlink>
      <w:r>
        <w:rPr>
          <w:sz w:val="24"/>
        </w:rPr>
        <w:t xml:space="preserve"> Кодекса в случае продажи жилого помещения или доли (долей) в нем, приобретенных налогоплательщиком, в частности, по договору участия в долевом строительстве, минимальный предельный срок владения таким жилым помещением или долей (долями) в нем исчисляется с даты полной оплаты стоимости такого жилого помещения или доли (долей) в нем в соответствии с указанным договором, в которой для указанных целей не учитывается дополнительная оплата в связи с увеличением площади указанного жилого помещения после ввода в эксплуатацию соответствующего объекта строительства.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минимальный предельный срок владения квартирой, приобретенной налогоплательщиком по договору участия в долевом строительстве, исчисляется с даты полной оплаты ее стоимости.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Указанные положения </w:t>
      </w:r>
      <w:hyperlink w:history="0" r:id="rId10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абзаца четвертого пункта 2 статьи 217.1</w:t>
        </w:r>
      </w:hyperlink>
      <w:r>
        <w:rPr>
          <w:sz w:val="24"/>
        </w:rPr>
        <w:t xml:space="preserve"> Кодекса применяются к жилому помещению, непосредственно переданному налогоплательщику и указанному в соответствующем договоре участия в долевом строительстве (при условии соблюдения условий, предусмотренных </w:t>
      </w:r>
      <w:hyperlink w:history="0" r:id="rId11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статьей 217.1</w:t>
        </w:r>
      </w:hyperlink>
      <w:r>
        <w:rPr>
          <w:sz w:val="24"/>
        </w:rPr>
        <w:t xml:space="preserve"> Кодекса).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связи, если квартира передана налогоплательщику в соответствии с договором участия в долевом строительстве, то доход от ее продажи освобождается от обложения налогом на доходы физических лиц при соблюдении условий, установленных </w:t>
      </w:r>
      <w:hyperlink w:history="0" r:id="rId12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статьей 217.1</w:t>
        </w:r>
      </w:hyperlink>
      <w:r>
        <w:rPr>
          <w:sz w:val="24"/>
        </w:rPr>
        <w:t xml:space="preserve">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положения </w:t>
      </w:r>
      <w:hyperlink w:history="0" r:id="rId13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абзаца четвертого пункта 2 статьи 217.1</w:t>
        </w:r>
      </w:hyperlink>
      <w:r>
        <w:rPr>
          <w:sz w:val="24"/>
        </w:rPr>
        <w:t xml:space="preserve"> Кодекса не распространяются на объект недвижимого имущества, полученного взамен такого жилого помещения, о чем сообщило в </w:t>
      </w:r>
      <w:hyperlink w:history="0" r:id="rId14" w:tooltip="&lt;Письмо&gt; ФНС России от 27.04.2022 N БС-4-11/5168@ &quot;О направлении письма Минфина России&quot; (вместе с &lt;Письмом&gt; Минфина России от 21.04.2022 N 03-04-07/35782) {КонсультантПлюс}">
        <w:r>
          <w:rPr>
            <w:sz w:val="24"/>
            <w:color w:val="0000ff"/>
          </w:rPr>
          <w:t xml:space="preserve">письме</w:t>
        </w:r>
      </w:hyperlink>
      <w:r>
        <w:rPr>
          <w:sz w:val="24"/>
        </w:rPr>
        <w:t xml:space="preserve"> от 21.04.2022 N 03-04-07/35782 Министерство финансов Российской Федерации (направлено по системе письмом ФНС России от 27.04.2022 N БС-4-11/5168@). Указанная позиция также подтверждена Минфином России письмом от 16.09.2025 N 03-04-07/90111.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Доведите указанное письмо до нижестоящих налоговых органов.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Письмо ФНС России от 21.10.2025 N БС-4-11/9424@</w:t>
            <w:br/>
            <w:t>"По вопросу исчисления минимального предельного срока владения объектом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Письмо ФНС России от 21.10.2025 N БС-4-11/9424@ "По вопросу исчисления минимального предельного срока владения объектом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15971&amp;date=24.10.2025&amp;dst=100010&amp;field=134&amp;demo=2" TargetMode = "External"/><Relationship Id="rId8" Type="http://schemas.openxmlformats.org/officeDocument/2006/relationships/hyperlink" Target="https://login.consultant.ru/link/?req=doc&amp;base=LAW&amp;n=510752&amp;date=24.10.2025&amp;dst=20584&amp;field=134&amp;demo=2" TargetMode = "External"/><Relationship Id="rId9" Type="http://schemas.openxmlformats.org/officeDocument/2006/relationships/hyperlink" Target="https://login.consultant.ru/link/?req=doc&amp;base=LAW&amp;n=510752&amp;date=24.10.2025&amp;dst=11750&amp;field=134&amp;demo=2" TargetMode = "External"/><Relationship Id="rId10" Type="http://schemas.openxmlformats.org/officeDocument/2006/relationships/hyperlink" Target="https://login.consultant.ru/link/?req=doc&amp;base=LAW&amp;n=510752&amp;date=24.10.2025&amp;dst=20584&amp;field=134&amp;demo=2" TargetMode = "External"/><Relationship Id="rId11" Type="http://schemas.openxmlformats.org/officeDocument/2006/relationships/hyperlink" Target="https://login.consultant.ru/link/?req=doc&amp;base=LAW&amp;n=510752&amp;date=24.10.2025&amp;dst=11750&amp;field=134&amp;demo=2" TargetMode = "External"/><Relationship Id="rId12" Type="http://schemas.openxmlformats.org/officeDocument/2006/relationships/hyperlink" Target="https://login.consultant.ru/link/?req=doc&amp;base=LAW&amp;n=510752&amp;date=24.10.2025&amp;dst=11750&amp;field=134&amp;demo=2" TargetMode = "External"/><Relationship Id="rId13" Type="http://schemas.openxmlformats.org/officeDocument/2006/relationships/hyperlink" Target="https://login.consultant.ru/link/?req=doc&amp;base=LAW&amp;n=510752&amp;date=24.10.2025&amp;dst=20584&amp;field=134&amp;demo=2" TargetMode = "External"/><Relationship Id="rId14" Type="http://schemas.openxmlformats.org/officeDocument/2006/relationships/hyperlink" Target="https://login.consultant.ru/link/?req=doc&amp;base=LAW&amp;n=415971&amp;date=24.10.2025&amp;dst=10001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ФНС России от 21.10.2025 N БС-4-11/9424@
"По вопросу исчисления минимального предельного срока владения объектом недвижимого имущества физическим лицом, являющимся обманутым дольщиком"</dc:title>
  <dcterms:created xsi:type="dcterms:W3CDTF">2025-10-24T13:30:39Z</dcterms:created>
</cp:coreProperties>
</file>