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ПИСЬМО</w:t>
      </w:r>
    </w:p>
    <w:p>
      <w:pPr>
        <w:pStyle w:val="2"/>
        <w:jc w:val="center"/>
      </w:pPr>
      <w:r>
        <w:rPr>
          <w:sz w:val="24"/>
        </w:rPr>
        <w:t xml:space="preserve">от 27 октября 2025 г. N ИН-03-59/105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ПРАКТИКАХ ИНФОРМИРОВАНИЯ ПОТРЕБИТЕЛЕЙ ФИНАНСОВЫХ ПРОДУКТОВ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Банк России в рамках надзора выявил ряд негативных практик при информировании финансовыми организациями &lt;1&gt; потребителей. Распространяемая, предоставляемая, раскрываемая информация о финансовых продуктах &lt;2&gt;: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Кредитные организации и некредитные финансовые организации (за исключением депозитариев, регистраторов, специализированных депозитариев инвестиционного фонда, паевого инвестиционного фонда и негосударственного пенсионного фонда, организаций, осуществляющих репозитарную, клиринговую деятельность, деятельность по осуществлению функций центрального контрагента, организатора торговли, центрального депозитария).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Финансовый продукт и финансовый инструмент в значениях, указанных в Методических </w:t>
      </w:r>
      <w:hyperlink w:history="0" r:id="rId7" w:tooltip="&quot;Методические рекомендации Банка России по предоставлению потребителям финансовых продуктов (дополнительных услуг) в дистанционных каналах&quot; (утв. Банком России 27.12.2024 N 22-МР) {КонсультантПлюс}">
        <w:r>
          <w:rPr>
            <w:sz w:val="24"/>
            <w:color w:val="0000ff"/>
          </w:rPr>
          <w:t xml:space="preserve">рекомендациях</w:t>
        </w:r>
      </w:hyperlink>
      <w:r>
        <w:rPr>
          <w:sz w:val="24"/>
        </w:rPr>
        <w:t xml:space="preserve"> Банка России по предоставлению потребителям финансовых продуктов (дополнительных услуг) в дистанционных каналах от 27.12.2024 N 22-МР, а также цифровые права.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доводится не в полном объеме &lt;3&gt;;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Не содержит важную информацию о финансовом продукте (в том числе основную информацию о дополнительных услугах, предлагаемых потребителю при предоставлении финансового продукта).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содержит неактуальные сведения;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имеет сложную грамматическую структуру изложения (в том числе ведущую к возможности неоднозначного понимания или двойного толкования);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содержит какие-либо гарантии и (или) обещания будущей эффективности, доходности, безопасности инвестиций &lt;4&gt;;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В том числе, если такая гарантия является условной, зависящей от наступления/ненаступления определенных событий. Исключением являются финансовые продукты, гарантии по которым могут быть определены на момент заключения соответствующего договора.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содержит сравнение с банковским вкладом (депозитом), указывающее выборочно только на преимущества финансового продукта &lt;5&gt;, при этом не указывающее прямо на его отличия от банковского вклада (депозита) по всем присущим финансовому продукту потребительским рискам &lt;6&gt;;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В случае если финансовый продукт не является банковским вкладом (депозитом).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В значении, указанном в Методических </w:t>
      </w:r>
      <w:hyperlink w:history="0" r:id="rId8" w:tooltip="&quot;Методические рекомендации Банка России по предоставлению потребителям финансовых продуктов (дополнительных услуг) в дистанционных каналах&quot; (утв. Банком России 27.12.2024 N 22-МР) {КонсультантПлюс}">
        <w:r>
          <w:rPr>
            <w:sz w:val="24"/>
            <w:color w:val="0000ff"/>
          </w:rPr>
          <w:t xml:space="preserve">рекомендациях</w:t>
        </w:r>
      </w:hyperlink>
      <w:r>
        <w:rPr>
          <w:sz w:val="24"/>
        </w:rPr>
        <w:t xml:space="preserve"> Банка России по предоставлению потребителям финансовых продуктов (дополнительных услуг) в дистанционных каналах от 27.12.2024 N 22-МР.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содержит ссылки на одобрение государственными органами и (или) Банком России потребительских свойств финансового продукта;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имеет документального подтверждения;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содержит противоречия между сведениями, представленными потребителям в устном и письменном виде;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содержит маркетинговые и иные приемы, усложняющие клиентский путь, затрудняя поиск и ознакомление с информацией &lt;7&gt;;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Например, размещение информации о рисках (сопутствующих расходах) и доходах в разных разделах сайта (документа), указание важной и значимой информации для потребителя мелким (плохо читаемым) шрифтом и использование иных аналогичных графических приемов.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содержит ложные заявления/утверждения о характеристиках финансовой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Предоставляемая информация о финансовом продукте, в том числе о наличии права расторгнуть договор в период охлаждения (при наличии такого права) и обо всех потребительских рисках, связанных с ним, не доводится до потребителя своевременно до заключения договора.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Банк России в целях повышения защищенности потребителей финансовых продуктов, обеспечения единства подходов к их информированию рекомендует финансовым организациям при выстраивании своей системы информирования, в том числе при внедрении принципа "Прозрачность" &lt;8&gt; в собственные (индивидуальные) кодексы, не допускать применения приведенных в настоящем письме практик.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В соответствии с Методическими </w:t>
      </w:r>
      <w:hyperlink w:history="0" r:id="rId9" w:tooltip="&quot;Методические рекомендации Банка России по применению основных принципов добросовестного поведения на финансовом рынке&quot; (утв. Банком России 20.01.2025 N 1-МР) {КонсультантПлюс}">
        <w:r>
          <w:rPr>
            <w:sz w:val="24"/>
            <w:color w:val="0000ff"/>
          </w:rPr>
          <w:t xml:space="preserve">рекомендациями</w:t>
        </w:r>
      </w:hyperlink>
      <w:r>
        <w:rPr>
          <w:sz w:val="24"/>
        </w:rPr>
        <w:t xml:space="preserve"> Банка России по применению основных принципов добросовестного поведения на финансовом рынке, утвержденными Банком России 20.01.2025 N 1-МР.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случае привлечения финансовыми организациями третьих лиц для взаимодействия с потребителями в отношении финансовых продуктов финансовых организаций Банк России также рекомендует не допускать применения указанными лицами приведенных в настоящем письме практик.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Настоящее Информационное письмо Банка России подлежит опубликованию на официальном сайте Банка России в информационно-телекоммуникационной сети "Интернет".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Первый заместитель</w:t>
      </w:r>
    </w:p>
    <w:p>
      <w:pPr>
        <w:pStyle w:val="0"/>
        <w:jc w:val="right"/>
      </w:pPr>
      <w:r>
        <w:rPr>
          <w:sz w:val="24"/>
        </w:rPr>
        <w:t xml:space="preserve">Председателя Банка России</w:t>
      </w:r>
    </w:p>
    <w:p>
      <w:pPr>
        <w:pStyle w:val="0"/>
        <w:jc w:val="right"/>
      </w:pPr>
      <w:r>
        <w:rPr>
          <w:sz w:val="24"/>
        </w:rPr>
        <w:t xml:space="preserve">Д.В.ТУЛИН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27.10.2025 N ИН-03-59/105</w:t>
            <w:br/>
            <w:t>"О практиках информирования потребителей финансовых прод...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27.10.2025 N ИН-03-59/105 "О практиках информирования потребителей финансовых прод...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4821&amp;date=30.10.2025&amp;demo=2" TargetMode = "External"/><Relationship Id="rId8" Type="http://schemas.openxmlformats.org/officeDocument/2006/relationships/hyperlink" Target="https://login.consultant.ru/link/?req=doc&amp;base=LAW&amp;n=494821&amp;date=30.10.2025&amp;demo=2" TargetMode = "External"/><Relationship Id="rId9" Type="http://schemas.openxmlformats.org/officeDocument/2006/relationships/hyperlink" Target="https://login.consultant.ru/link/?req=doc&amp;base=LAW&amp;n=498418&amp;date=30.10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Банка России от 27.10.2025 N ИН-03-59/105
"О практиках информирования потребителей финансовых продуктов"</dc:title>
  <dcterms:created xsi:type="dcterms:W3CDTF">2025-10-30T13:13:24Z</dcterms:created>
</cp:coreProperties>
</file>