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FE0" w:rsidRDefault="004B7AA0">
      <w:pPr>
        <w:pStyle w:val="a9"/>
        <w:spacing w:before="0" w:line="240" w:lineRule="atLeast"/>
        <w:rPr>
          <w:b/>
        </w:rPr>
      </w:pPr>
      <w:r>
        <w:rPr>
          <w:b/>
        </w:rPr>
        <w:t>ПОЯСНИТЕЛЬНАЯ ЗАПИСКА</w:t>
      </w:r>
    </w:p>
    <w:p w:rsidR="00110FE0" w:rsidRDefault="00110FE0">
      <w:pPr>
        <w:pStyle w:val="a9"/>
        <w:spacing w:before="0" w:line="120" w:lineRule="exact"/>
        <w:rPr>
          <w:b/>
        </w:rPr>
      </w:pPr>
    </w:p>
    <w:p w:rsidR="00110FE0" w:rsidRDefault="004B7AA0">
      <w:pPr>
        <w:pStyle w:val="aa"/>
        <w:spacing w:before="0" w:line="240" w:lineRule="atLeast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к проекту федерального закона "О внесении изменений в статьи 15 и 15</w:t>
      </w: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 xml:space="preserve"> Федерального закона "О статусе военнослужащих"</w:t>
      </w:r>
    </w:p>
    <w:p w:rsidR="00110FE0" w:rsidRDefault="00110FE0">
      <w:pPr>
        <w:pStyle w:val="aa"/>
        <w:spacing w:before="0" w:line="240" w:lineRule="atLeast"/>
        <w:contextualSpacing/>
        <w:jc w:val="both"/>
        <w:rPr>
          <w:rFonts w:ascii="Times New Roman" w:hAnsi="Times New Roman"/>
          <w:b w:val="0"/>
        </w:rPr>
      </w:pPr>
    </w:p>
    <w:p w:rsidR="00110FE0" w:rsidRDefault="00110FE0">
      <w:pPr>
        <w:pStyle w:val="aa"/>
        <w:spacing w:before="0" w:line="240" w:lineRule="atLeast"/>
        <w:contextualSpacing/>
        <w:jc w:val="both"/>
        <w:rPr>
          <w:rFonts w:ascii="Times New Roman" w:hAnsi="Times New Roman"/>
          <w:b w:val="0"/>
        </w:rPr>
      </w:pPr>
    </w:p>
    <w:p w:rsidR="00110FE0" w:rsidRDefault="00110FE0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</w:p>
    <w:p w:rsidR="00110FE0" w:rsidRDefault="004B7AA0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Проект федерального закона "О внесении изменений в статьи 15 и 15</w:t>
      </w:r>
      <w:r>
        <w:rPr>
          <w:rFonts w:ascii="Times New Roman" w:hAnsi="Times New Roman"/>
          <w:szCs w:val="28"/>
          <w:vertAlign w:val="superscript"/>
        </w:rPr>
        <w:t>1</w:t>
      </w:r>
      <w:r>
        <w:rPr>
          <w:rFonts w:ascii="Times New Roman" w:hAnsi="Times New Roman"/>
          <w:szCs w:val="28"/>
        </w:rPr>
        <w:t xml:space="preserve"> Федерального закона "О статусе военнослужащих" подготовлен во исполнение Постановления Конституционного Суда Российской Федерации </w:t>
      </w:r>
      <w:r w:rsidR="00506841">
        <w:rPr>
          <w:rFonts w:ascii="Times New Roman" w:hAnsi="Times New Roman"/>
          <w:szCs w:val="28"/>
        </w:rPr>
        <w:br/>
      </w:r>
      <w:r>
        <w:rPr>
          <w:rFonts w:ascii="Times New Roman" w:hAnsi="Times New Roman"/>
          <w:szCs w:val="28"/>
        </w:rPr>
        <w:t>от 12 февраля 2025 г. № 7-П (далее - Постановление Конституционного Суда)</w:t>
      </w:r>
      <w:bookmarkStart w:id="0" w:name="_GoBack"/>
      <w:bookmarkEnd w:id="0"/>
      <w:r>
        <w:rPr>
          <w:rFonts w:ascii="Times New Roman" w:hAnsi="Times New Roman"/>
          <w:szCs w:val="28"/>
        </w:rPr>
        <w:t xml:space="preserve"> </w:t>
      </w:r>
      <w:r w:rsidR="00506841">
        <w:rPr>
          <w:rFonts w:ascii="Times New Roman" w:hAnsi="Times New Roman"/>
          <w:szCs w:val="28"/>
        </w:rPr>
        <w:br/>
      </w:r>
      <w:r>
        <w:rPr>
          <w:rFonts w:ascii="Times New Roman" w:hAnsi="Times New Roman"/>
          <w:szCs w:val="28"/>
        </w:rPr>
        <w:t>в целях устранения неопределенности правового регулирования по вопросу жилищного обеспечения военнослужащих, ранее обеспеченных за счет государства в качестве членов семей иных граждан.</w:t>
      </w:r>
      <w:proofErr w:type="gramEnd"/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 xml:space="preserve">Постановлением Конституционного Суда абзац первый пункта 14 статьи 15 Федерального закона от 27 мая 1998 г. № 76-ФЗ "О статусе военнослужащих" (далее - Закон № 76-ФЗ) признан не соответствующим Конституции Российской Федерации в той мере, в какой он в системе действующего правового регулирования (в силу неопределенности, нормативного содержания, а также противоречивого смысла, придаваемого ему правоприменительной практикой) допускает произвольное толкование права </w:t>
      </w:r>
      <w:r w:rsidR="00506841">
        <w:rPr>
          <w:rFonts w:ascii="Times New Roman" w:hAnsi="Times New Roman"/>
          <w:szCs w:val="28"/>
        </w:rPr>
        <w:br/>
      </w:r>
      <w:r>
        <w:rPr>
          <w:rFonts w:ascii="Times New Roman" w:hAnsi="Times New Roman"/>
          <w:szCs w:val="28"/>
        </w:rPr>
        <w:t>на предоставление предусмотренных</w:t>
      </w:r>
      <w:proofErr w:type="gramEnd"/>
      <w:r>
        <w:rPr>
          <w:rFonts w:ascii="Times New Roman" w:hAnsi="Times New Roman"/>
          <w:szCs w:val="28"/>
        </w:rPr>
        <w:t xml:space="preserve"> законом жилищных гарантий военнослужащим, ранее обеспеченным жилыми помещениями или средствами на их приобретение в качестве членов семей других военнослужащих или иных граждан.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Законопроектом предлагается уточнить положения, касающиеся порядка обеспечения военнослужащих жилым помещением либо денежными средствами на приобретение или строительство жилого помещения, за исключением военнослужащих, в том </w:t>
      </w:r>
      <w:proofErr w:type="gramStart"/>
      <w:r>
        <w:rPr>
          <w:rFonts w:ascii="Times New Roman" w:hAnsi="Times New Roman"/>
          <w:szCs w:val="28"/>
        </w:rPr>
        <w:t>числе</w:t>
      </w:r>
      <w:proofErr w:type="gramEnd"/>
      <w:r>
        <w:rPr>
          <w:rFonts w:ascii="Times New Roman" w:hAnsi="Times New Roman"/>
          <w:szCs w:val="28"/>
        </w:rPr>
        <w:t xml:space="preserve"> которые ранее были обеспечены в качестве членов семей других военнослужащих или иных граждан жилыми помещениями либо денежными средствами на их приобретение и не реализовали свое право </w:t>
      </w:r>
      <w:r>
        <w:rPr>
          <w:rFonts w:ascii="Times New Roman" w:hAnsi="Times New Roman"/>
          <w:szCs w:val="28"/>
        </w:rPr>
        <w:br/>
        <w:t>на жилищное обеспечение в качестве самостоятельного субъекта правоотношений.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r>
        <w:rPr>
          <w:rFonts w:ascii="Times New Roman" w:hAnsi="Times New Roman"/>
          <w:spacing w:val="-2"/>
          <w:szCs w:val="28"/>
        </w:rPr>
        <w:t xml:space="preserve">С этой целью уточняется, что указанным правом военнослужащие могут воспользоваться однократно за исключением случаев улучшения жилищных условий. При этом прямо устанавливается, что обеспечение военнослужащих жилыми помещениями или средствами на их приобретение в качестве членов семей других военнослужащих или иных граждан не является основанием для </w:t>
      </w:r>
      <w:r>
        <w:rPr>
          <w:rFonts w:ascii="Times New Roman" w:hAnsi="Times New Roman"/>
          <w:spacing w:val="-2"/>
          <w:szCs w:val="28"/>
        </w:rPr>
        <w:lastRenderedPageBreak/>
        <w:t xml:space="preserve">отказа в признании их нуждающимися в жилых помещениях при наличии у </w:t>
      </w:r>
      <w:proofErr w:type="gramStart"/>
      <w:r>
        <w:rPr>
          <w:rFonts w:ascii="Times New Roman" w:hAnsi="Times New Roman"/>
          <w:spacing w:val="-2"/>
          <w:szCs w:val="28"/>
        </w:rPr>
        <w:t>них</w:t>
      </w:r>
      <w:proofErr w:type="gramEnd"/>
      <w:r>
        <w:rPr>
          <w:rFonts w:ascii="Times New Roman" w:hAnsi="Times New Roman"/>
          <w:spacing w:val="-2"/>
          <w:szCs w:val="28"/>
        </w:rPr>
        <w:t xml:space="preserve"> установленных законом условий и оснований для такого признания.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r>
        <w:rPr>
          <w:rFonts w:ascii="Times New Roman" w:hAnsi="Times New Roman"/>
          <w:spacing w:val="-2"/>
          <w:szCs w:val="28"/>
        </w:rPr>
        <w:t xml:space="preserve">Одновременно уточняется порядок улучшения жилищных условий военнослужащих в период военной службы (абзац семнадцатый пункта 1 статьи 15 Закона № 76-ФЗ). </w:t>
      </w:r>
      <w:proofErr w:type="gramStart"/>
      <w:r>
        <w:rPr>
          <w:rFonts w:ascii="Times New Roman" w:hAnsi="Times New Roman"/>
          <w:spacing w:val="-2"/>
          <w:szCs w:val="28"/>
        </w:rPr>
        <w:t xml:space="preserve">Законопроект закрепляет в качестве условий для улучшения жилищных условий возникновение оснований, предусмотренных пунктами 1 и 2 части 1 статьи 51 Жилищного кодекса Российской Федерации, </w:t>
      </w:r>
      <w:r>
        <w:rPr>
          <w:rFonts w:ascii="Times New Roman" w:hAnsi="Times New Roman"/>
          <w:spacing w:val="-2"/>
          <w:szCs w:val="28"/>
        </w:rPr>
        <w:br/>
        <w:t xml:space="preserve">в связи с вступлением в брак и (или) рождением детей, усыновлением (удочерением) детей, что направлено на укрепление института семьи, улучшение демографической ситуации, а также повышение уровня социальных гарантий </w:t>
      </w:r>
      <w:r>
        <w:rPr>
          <w:rFonts w:ascii="Times New Roman" w:hAnsi="Times New Roman"/>
          <w:spacing w:val="-2"/>
          <w:szCs w:val="28"/>
        </w:rPr>
        <w:br/>
        <w:t>и привлекательности военной службы за счет поддержания государством</w:t>
      </w:r>
      <w:proofErr w:type="gramEnd"/>
      <w:r>
        <w:rPr>
          <w:rFonts w:ascii="Times New Roman" w:hAnsi="Times New Roman"/>
          <w:spacing w:val="-2"/>
          <w:szCs w:val="28"/>
        </w:rPr>
        <w:t xml:space="preserve"> достойного уровня жилищной обеспеченности военнослужащих и членов их семей.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r>
        <w:rPr>
          <w:rFonts w:ascii="Times New Roman" w:hAnsi="Times New Roman"/>
          <w:spacing w:val="-2"/>
          <w:szCs w:val="28"/>
        </w:rPr>
        <w:t xml:space="preserve">Законопроектом также уточняется порядок жилищного обеспечения категории военнослужащих, определенной абзацем первым пункта 14 статьи 15 Закона № 76-ФЗ, при изъявлении ими желания о перемене места жительства. </w:t>
      </w:r>
      <w:r>
        <w:rPr>
          <w:rFonts w:ascii="Times New Roman" w:hAnsi="Times New Roman"/>
          <w:spacing w:val="-2"/>
          <w:szCs w:val="28"/>
        </w:rPr>
        <w:br/>
        <w:t xml:space="preserve">Для указанной категории военнослужащих предусматривается, что данное право предоставляется один раз за весь период военной службы и не зависит от наличия у военнослужащего и членов его семьи оснований для признания </w:t>
      </w:r>
      <w:proofErr w:type="gramStart"/>
      <w:r>
        <w:rPr>
          <w:rFonts w:ascii="Times New Roman" w:hAnsi="Times New Roman"/>
          <w:spacing w:val="-2"/>
          <w:szCs w:val="28"/>
        </w:rPr>
        <w:t>нуждающимися</w:t>
      </w:r>
      <w:proofErr w:type="gramEnd"/>
      <w:r>
        <w:rPr>
          <w:rFonts w:ascii="Times New Roman" w:hAnsi="Times New Roman"/>
          <w:spacing w:val="-2"/>
          <w:szCs w:val="28"/>
        </w:rPr>
        <w:t xml:space="preserve"> в жилых помещениях, предусмотренных статьей 51 Жилищного кодекса Российской Федерации. 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r>
        <w:rPr>
          <w:rFonts w:ascii="Times New Roman" w:hAnsi="Times New Roman"/>
          <w:spacing w:val="-2"/>
          <w:szCs w:val="28"/>
        </w:rPr>
        <w:t xml:space="preserve">При этом одним из условий для жилищного обеспечения при перемене места жительства является сдача занимаемого жилья по прежнему месту жительства. Действующей редакцией абзаца первого пункта 14 статьи 15 Закона № 76-ФЗ предусмотрено представление военнослужащим документов о сдаче жилого помещения по прежнему месту жительства, в </w:t>
      </w:r>
      <w:proofErr w:type="gramStart"/>
      <w:r>
        <w:rPr>
          <w:rFonts w:ascii="Times New Roman" w:hAnsi="Times New Roman"/>
          <w:spacing w:val="-2"/>
          <w:szCs w:val="28"/>
        </w:rPr>
        <w:t>связи</w:t>
      </w:r>
      <w:proofErr w:type="gramEnd"/>
      <w:r>
        <w:rPr>
          <w:rFonts w:ascii="Times New Roman" w:hAnsi="Times New Roman"/>
          <w:spacing w:val="-2"/>
          <w:szCs w:val="28"/>
        </w:rPr>
        <w:t xml:space="preserve"> с чем проектируемая норма не содержит новых положений в части необходимости сдачи жилого помещения, а лишь уточняется в целях исключения неоднозначного толкования </w:t>
      </w:r>
      <w:r>
        <w:rPr>
          <w:rFonts w:ascii="Times New Roman" w:hAnsi="Times New Roman"/>
          <w:spacing w:val="-2"/>
          <w:szCs w:val="28"/>
        </w:rPr>
        <w:br/>
        <w:t>и приведения в соответствие со сложившейся правоприменительной и судебной практикой.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r>
        <w:rPr>
          <w:rFonts w:ascii="Times New Roman" w:hAnsi="Times New Roman"/>
          <w:spacing w:val="-2"/>
          <w:szCs w:val="28"/>
        </w:rPr>
        <w:t xml:space="preserve">Также проектируемая редакция абзаца первого пункта 14 статьи 15 Закона № 76-ФЗ дополнена положением, в соответствии с которым указанный абзац </w:t>
      </w:r>
      <w:r>
        <w:rPr>
          <w:rFonts w:ascii="Times New Roman" w:hAnsi="Times New Roman"/>
          <w:spacing w:val="-2"/>
          <w:szCs w:val="28"/>
        </w:rPr>
        <w:br/>
        <w:t xml:space="preserve">не распространяется на военнослужащих и членов их семей, имеющих жилые помещения в собственности, которые вправе распоряжаться ими по своему усмотрению. 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proofErr w:type="gramStart"/>
      <w:r>
        <w:rPr>
          <w:rFonts w:ascii="Times New Roman" w:hAnsi="Times New Roman"/>
          <w:spacing w:val="-2"/>
          <w:szCs w:val="28"/>
        </w:rPr>
        <w:t xml:space="preserve">В </w:t>
      </w:r>
      <w:r w:rsidR="00506841">
        <w:rPr>
          <w:rFonts w:ascii="Times New Roman" w:hAnsi="Times New Roman"/>
          <w:spacing w:val="-2"/>
          <w:szCs w:val="28"/>
        </w:rPr>
        <w:t>П</w:t>
      </w:r>
      <w:r>
        <w:rPr>
          <w:rFonts w:ascii="Times New Roman" w:hAnsi="Times New Roman"/>
          <w:spacing w:val="-2"/>
          <w:szCs w:val="28"/>
        </w:rPr>
        <w:t>остановлении Конституционн</w:t>
      </w:r>
      <w:r w:rsidR="00506841">
        <w:rPr>
          <w:rFonts w:ascii="Times New Roman" w:hAnsi="Times New Roman"/>
          <w:spacing w:val="-2"/>
          <w:szCs w:val="28"/>
        </w:rPr>
        <w:t>ого</w:t>
      </w:r>
      <w:r>
        <w:rPr>
          <w:rFonts w:ascii="Times New Roman" w:hAnsi="Times New Roman"/>
          <w:spacing w:val="-2"/>
          <w:szCs w:val="28"/>
        </w:rPr>
        <w:t xml:space="preserve"> Суд</w:t>
      </w:r>
      <w:r w:rsidR="00506841">
        <w:rPr>
          <w:rFonts w:ascii="Times New Roman" w:hAnsi="Times New Roman"/>
          <w:spacing w:val="-2"/>
          <w:szCs w:val="28"/>
        </w:rPr>
        <w:t>а</w:t>
      </w:r>
      <w:r>
        <w:rPr>
          <w:rFonts w:ascii="Times New Roman" w:hAnsi="Times New Roman"/>
          <w:spacing w:val="-2"/>
          <w:szCs w:val="28"/>
        </w:rPr>
        <w:t xml:space="preserve"> также обра</w:t>
      </w:r>
      <w:r w:rsidR="00506841">
        <w:rPr>
          <w:rFonts w:ascii="Times New Roman" w:hAnsi="Times New Roman"/>
          <w:spacing w:val="-2"/>
          <w:szCs w:val="28"/>
        </w:rPr>
        <w:t>щается</w:t>
      </w:r>
      <w:r>
        <w:rPr>
          <w:rFonts w:ascii="Times New Roman" w:hAnsi="Times New Roman"/>
          <w:spacing w:val="-2"/>
          <w:szCs w:val="28"/>
        </w:rPr>
        <w:t xml:space="preserve"> внимание</w:t>
      </w:r>
      <w:r w:rsidR="00506841">
        <w:rPr>
          <w:rFonts w:ascii="Times New Roman" w:hAnsi="Times New Roman"/>
          <w:spacing w:val="-2"/>
          <w:szCs w:val="28"/>
        </w:rPr>
        <w:t xml:space="preserve"> </w:t>
      </w:r>
      <w:r w:rsidR="00506841">
        <w:rPr>
          <w:rFonts w:ascii="Times New Roman" w:hAnsi="Times New Roman"/>
          <w:spacing w:val="-2"/>
          <w:szCs w:val="28"/>
        </w:rPr>
        <w:br/>
        <w:t>на то</w:t>
      </w:r>
      <w:r>
        <w:rPr>
          <w:rFonts w:ascii="Times New Roman" w:hAnsi="Times New Roman"/>
          <w:spacing w:val="-2"/>
          <w:szCs w:val="28"/>
        </w:rPr>
        <w:t xml:space="preserve">, что установление порядка предоставления жилищных гарантий военнослужащим должно реализовываться не произвольно, а на основании четко </w:t>
      </w:r>
      <w:r>
        <w:rPr>
          <w:rFonts w:ascii="Times New Roman" w:hAnsi="Times New Roman"/>
          <w:spacing w:val="-2"/>
          <w:szCs w:val="28"/>
        </w:rPr>
        <w:lastRenderedPageBreak/>
        <w:t xml:space="preserve">определенных в законе критериев с учетом объективно существующих различий в положении соответствующих категорий граждан, а также с соблюдением </w:t>
      </w:r>
      <w:r w:rsidR="00506841">
        <w:rPr>
          <w:rFonts w:ascii="Times New Roman" w:hAnsi="Times New Roman"/>
          <w:spacing w:val="-2"/>
          <w:szCs w:val="28"/>
        </w:rPr>
        <w:br/>
      </w:r>
      <w:r>
        <w:rPr>
          <w:rFonts w:ascii="Times New Roman" w:hAnsi="Times New Roman"/>
          <w:spacing w:val="-2"/>
          <w:szCs w:val="28"/>
        </w:rPr>
        <w:t>их правомерных ожиданий и приобретенных на основании закона прав.</w:t>
      </w:r>
      <w:proofErr w:type="gramEnd"/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pacing w:val="-2"/>
          <w:szCs w:val="28"/>
        </w:rPr>
        <w:t>В этой связи для обеспечения указанного Конституционным Судом Российской Федерации подхода к реализации жилищных прав военнослужащих, направленного с одной стороны на не</w:t>
      </w:r>
      <w:r>
        <w:rPr>
          <w:rFonts w:ascii="Times New Roman" w:hAnsi="Times New Roman"/>
          <w:szCs w:val="28"/>
          <w:lang w:eastAsia="en-US"/>
        </w:rPr>
        <w:t xml:space="preserve">допущение произвольного отказа </w:t>
      </w:r>
      <w:r>
        <w:rPr>
          <w:rFonts w:ascii="Times New Roman" w:hAnsi="Times New Roman"/>
          <w:szCs w:val="28"/>
          <w:lang w:eastAsia="en-US"/>
        </w:rPr>
        <w:br/>
        <w:t xml:space="preserve">в предоставлении жилищных гарантий, а с другой - необоснованного сверхнормативного обеспечения военнослужащих и членов их семей жильем </w:t>
      </w:r>
      <w:r>
        <w:rPr>
          <w:rFonts w:ascii="Times New Roman" w:hAnsi="Times New Roman"/>
          <w:szCs w:val="28"/>
          <w:lang w:eastAsia="en-US"/>
        </w:rPr>
        <w:br/>
        <w:t xml:space="preserve">за счет бюджетных средств, законопроектом предусматривается </w:t>
      </w:r>
      <w:r>
        <w:rPr>
          <w:rFonts w:ascii="Times New Roman" w:hAnsi="Times New Roman"/>
          <w:spacing w:val="-2"/>
          <w:szCs w:val="28"/>
        </w:rPr>
        <w:t xml:space="preserve">установление </w:t>
      </w:r>
      <w:r>
        <w:rPr>
          <w:rFonts w:ascii="Times New Roman" w:hAnsi="Times New Roman"/>
          <w:spacing w:val="-2"/>
          <w:szCs w:val="28"/>
        </w:rPr>
        <w:br/>
        <w:t xml:space="preserve">с учетом принципа единого подхода к организации государственной службы единой учетной нормы </w:t>
      </w:r>
      <w:r>
        <w:rPr>
          <w:rFonts w:ascii="Times New Roman" w:hAnsi="Times New Roman"/>
          <w:szCs w:val="28"/>
        </w:rPr>
        <w:t>площади</w:t>
      </w:r>
      <w:proofErr w:type="gramEnd"/>
      <w:r>
        <w:rPr>
          <w:rFonts w:ascii="Times New Roman" w:hAnsi="Times New Roman"/>
          <w:szCs w:val="28"/>
        </w:rPr>
        <w:t xml:space="preserve"> жилого помещения (далее - учетная норма), используемой для признания военнослужащих </w:t>
      </w:r>
      <w:proofErr w:type="gramStart"/>
      <w:r>
        <w:rPr>
          <w:rFonts w:ascii="Times New Roman" w:hAnsi="Times New Roman"/>
          <w:szCs w:val="28"/>
        </w:rPr>
        <w:t>нуждающимися</w:t>
      </w:r>
      <w:proofErr w:type="gramEnd"/>
      <w:r>
        <w:rPr>
          <w:rFonts w:ascii="Times New Roman" w:hAnsi="Times New Roman"/>
          <w:szCs w:val="28"/>
        </w:rPr>
        <w:t xml:space="preserve"> в жилых помещениях, в размере 15 кв. метров (аналогичная учетная норма используется в целях жилищного обеспечения работников прокуратуры Российской Федерации, сотрудников Следственного комитета Российской Федерации, органов внутренних дел Российской Федерации, федеральных государственных гражданских служащих).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 настоящее время в целях принятия </w:t>
      </w:r>
      <w:proofErr w:type="gramStart"/>
      <w:r>
        <w:rPr>
          <w:rFonts w:ascii="Times New Roman" w:hAnsi="Times New Roman"/>
          <w:szCs w:val="28"/>
        </w:rPr>
        <w:t>военнослужащих</w:t>
      </w:r>
      <w:proofErr w:type="gramEnd"/>
      <w:r>
        <w:rPr>
          <w:rFonts w:ascii="Times New Roman" w:hAnsi="Times New Roman"/>
          <w:szCs w:val="28"/>
        </w:rPr>
        <w:t xml:space="preserve"> на учет нуждающихся в жилых помещениях уровень их обеспеченности общей площадью жилого помещения определяется исходя из учетной нормы, размер которой устанавливается органом местного самоуправления в избранном военнослужащим населенном пункте.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Установление единого </w:t>
      </w:r>
      <w:proofErr w:type="gramStart"/>
      <w:r>
        <w:rPr>
          <w:rFonts w:ascii="Times New Roman" w:hAnsi="Times New Roman"/>
          <w:szCs w:val="28"/>
        </w:rPr>
        <w:t>подхода</w:t>
      </w:r>
      <w:proofErr w:type="gramEnd"/>
      <w:r>
        <w:rPr>
          <w:rFonts w:ascii="Times New Roman" w:hAnsi="Times New Roman"/>
          <w:szCs w:val="28"/>
        </w:rPr>
        <w:t xml:space="preserve"> к определению критерия нуждаемости исходя из учетной нормы в размере 15 кв. метров позволит обеспечить равные возможности при реализации прав военнослужащих на жилищное обеспечение вне зависимости от места постановки на учет нуждающихся.</w:t>
      </w:r>
    </w:p>
    <w:p w:rsidR="00110FE0" w:rsidRDefault="004B7AA0">
      <w:pPr>
        <w:pStyle w:val="Default"/>
        <w:spacing w:line="360" w:lineRule="atLeas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Реализация положений, предусмотренных законопроектом, не повлечет социально-экономических, финансовых и иных последствий, в том числе </w:t>
      </w:r>
      <w:r>
        <w:rPr>
          <w:color w:val="auto"/>
          <w:sz w:val="28"/>
          <w:szCs w:val="28"/>
        </w:rPr>
        <w:br/>
        <w:t xml:space="preserve">для субъектов предпринимательской и иной экономической деятельности, </w:t>
      </w:r>
      <w:r>
        <w:rPr>
          <w:color w:val="auto"/>
          <w:sz w:val="28"/>
          <w:szCs w:val="28"/>
        </w:rPr>
        <w:br/>
        <w:t xml:space="preserve">а также не повлияет на достижение целей государственных программ Российской Федерации. </w:t>
      </w:r>
    </w:p>
    <w:p w:rsidR="00110FE0" w:rsidRDefault="004B7AA0">
      <w:pPr>
        <w:pStyle w:val="Default"/>
        <w:spacing w:line="360" w:lineRule="atLeas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Законопроект соответствует положениям Договора о Евразийском экономическом союзе от 29 мая 2014 г., а также положениям иных международных договоров Российской Федерации. </w:t>
      </w:r>
    </w:p>
    <w:p w:rsidR="00110FE0" w:rsidRDefault="004B7AA0">
      <w:pPr>
        <w:tabs>
          <w:tab w:val="left" w:pos="1134"/>
        </w:tabs>
        <w:ind w:firstLine="709"/>
        <w:rPr>
          <w:rFonts w:ascii="Times New Roman" w:hAnsi="Times New Roman"/>
          <w:spacing w:val="-2"/>
          <w:szCs w:val="28"/>
        </w:rPr>
      </w:pPr>
      <w:r>
        <w:rPr>
          <w:rFonts w:ascii="Times New Roman" w:hAnsi="Times New Roman"/>
          <w:szCs w:val="28"/>
        </w:rPr>
        <w:t xml:space="preserve">В законопроекте отсутствуют требования, которые связаны </w:t>
      </w:r>
      <w:r>
        <w:rPr>
          <w:rFonts w:ascii="Times New Roman" w:hAnsi="Times New Roman"/>
          <w:szCs w:val="28"/>
        </w:rPr>
        <w:br/>
        <w:t xml:space="preserve">с осуществлением предпринимательской и иной экономической деятельности </w:t>
      </w:r>
      <w:r>
        <w:rPr>
          <w:rFonts w:ascii="Times New Roman" w:hAnsi="Times New Roman"/>
          <w:szCs w:val="28"/>
        </w:rPr>
        <w:br/>
        <w:t xml:space="preserve">и оценка соблюдения которых осуществляется в рамках государственного контроля (надзора), муниципального контроля, привлечения </w:t>
      </w:r>
      <w:r>
        <w:rPr>
          <w:rFonts w:ascii="Times New Roman" w:hAnsi="Times New Roman"/>
          <w:szCs w:val="28"/>
        </w:rPr>
        <w:br/>
      </w:r>
      <w:r>
        <w:rPr>
          <w:rFonts w:ascii="Times New Roman" w:hAnsi="Times New Roman"/>
          <w:szCs w:val="28"/>
        </w:rPr>
        <w:lastRenderedPageBreak/>
        <w:t>к административной ответственности, предоставления лицензий и иных разрешений, аккредитации, оценки соответствия продукции, иных форм оценки и экспертизы.</w:t>
      </w:r>
    </w:p>
    <w:p w:rsidR="00110FE0" w:rsidRDefault="00110FE0">
      <w:pPr>
        <w:ind w:firstLine="709"/>
        <w:rPr>
          <w:rFonts w:ascii="Times New Roman" w:hAnsi="Times New Roman"/>
          <w:szCs w:val="28"/>
        </w:rPr>
        <w:sectPr w:rsidR="00110FE0">
          <w:headerReference w:type="default" r:id="rId8"/>
          <w:footerReference w:type="default" r:id="rId9"/>
          <w:footerReference w:type="first" r:id="rId10"/>
          <w:pgSz w:w="11907" w:h="16840" w:code="9"/>
          <w:pgMar w:top="1418" w:right="737" w:bottom="1418" w:left="1418" w:header="709" w:footer="1134" w:gutter="0"/>
          <w:cols w:space="720"/>
          <w:titlePg/>
          <w:docGrid w:linePitch="381"/>
        </w:sectPr>
      </w:pPr>
    </w:p>
    <w:p w:rsidR="00110FE0" w:rsidRDefault="00110FE0">
      <w:pPr>
        <w:ind w:firstLine="709"/>
        <w:rPr>
          <w:rFonts w:ascii="Times New Roman" w:hAnsi="Times New Roman"/>
          <w:szCs w:val="28"/>
        </w:rPr>
      </w:pPr>
    </w:p>
    <w:sectPr w:rsidR="00110FE0">
      <w:type w:val="continuous"/>
      <w:pgSz w:w="11907" w:h="16840" w:code="9"/>
      <w:pgMar w:top="1418" w:right="737" w:bottom="1418" w:left="1418" w:header="709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CB6" w:rsidRDefault="00EB6CB6">
      <w:pPr>
        <w:spacing w:line="240" w:lineRule="auto"/>
      </w:pPr>
      <w:r>
        <w:separator/>
      </w:r>
    </w:p>
  </w:endnote>
  <w:endnote w:type="continuationSeparator" w:id="0">
    <w:p w:rsidR="00EB6CB6" w:rsidRDefault="00EB6C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pPr w:leftFromText="181" w:rightFromText="181" w:vertAnchor="text" w:horzAnchor="margin" w:tblpXSpec="right" w:tblpY="1"/>
      <w:tblOverlap w:val="never"/>
      <w:tblW w:w="0" w:type="auto"/>
      <w:tblLook w:val="04A0" w:firstRow="1" w:lastRow="0" w:firstColumn="1" w:lastColumn="0" w:noHBand="0" w:noVBand="1"/>
    </w:tblPr>
    <w:tblGrid>
      <w:gridCol w:w="3166"/>
    </w:tblGrid>
    <w:tr w:rsidR="00110FE0"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110FE0" w:rsidRDefault="004B7AA0">
          <w:pPr>
            <w:pStyle w:val="a5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0310010-Уч-2025 (15.0)</w:t>
          </w:r>
        </w:p>
      </w:tc>
    </w:tr>
    <w:tr w:rsidR="00110FE0"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110FE0" w:rsidRDefault="004B7AA0">
          <w:pPr>
            <w:pStyle w:val="a5"/>
          </w:pPr>
          <w:r>
            <w:rPr>
              <w:noProof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13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110FE0" w:rsidRDefault="00110F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pPr w:leftFromText="181" w:rightFromText="181" w:vertAnchor="text" w:horzAnchor="margin" w:tblpXSpec="right" w:tblpY="1"/>
      <w:tblOverlap w:val="never"/>
      <w:tblW w:w="0" w:type="auto"/>
      <w:tblLook w:val="04A0" w:firstRow="1" w:lastRow="0" w:firstColumn="1" w:lastColumn="0" w:noHBand="0" w:noVBand="1"/>
    </w:tblPr>
    <w:tblGrid>
      <w:gridCol w:w="3166"/>
    </w:tblGrid>
    <w:tr w:rsidR="00110FE0"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110FE0" w:rsidRDefault="004B7AA0">
          <w:pPr>
            <w:pStyle w:val="a5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0310010-Уч-2025 (15.0)</w:t>
          </w:r>
        </w:p>
      </w:tc>
    </w:tr>
    <w:tr w:rsidR="00110FE0"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110FE0" w:rsidRDefault="004B7AA0">
          <w:pPr>
            <w:pStyle w:val="a5"/>
          </w:pPr>
          <w:r>
            <w:rPr>
              <w:noProof/>
            </w:rPr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14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110FE0" w:rsidRDefault="00110F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CB6" w:rsidRDefault="00EB6CB6">
      <w:pPr>
        <w:spacing w:line="240" w:lineRule="auto"/>
      </w:pPr>
      <w:r>
        <w:separator/>
      </w:r>
    </w:p>
  </w:footnote>
  <w:footnote w:type="continuationSeparator" w:id="0">
    <w:p w:rsidR="00EB6CB6" w:rsidRDefault="00EB6C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FE0" w:rsidRDefault="004B7AA0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96E9A">
      <w:rPr>
        <w:rStyle w:val="a7"/>
        <w:noProof/>
      </w:rPr>
      <w:t>4</w:t>
    </w:r>
    <w:r>
      <w:rPr>
        <w:rStyle w:val="a7"/>
      </w:rPr>
      <w:fldChar w:fldCharType="end"/>
    </w:r>
  </w:p>
  <w:p w:rsidR="00110FE0" w:rsidRDefault="00110F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comment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FE0"/>
    <w:rsid w:val="00110FE0"/>
    <w:rsid w:val="004B7AA0"/>
    <w:rsid w:val="00506841"/>
    <w:rsid w:val="00E96E9A"/>
    <w:rsid w:val="00EB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a7">
    <w:name w:val="page number"/>
    <w:basedOn w:val="a0"/>
    <w:uiPriority w:val="99"/>
  </w:style>
  <w:style w:type="table" w:styleId="a8">
    <w:name w:val="Table Grid"/>
    <w:basedOn w:val="a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Наименование вида документа"/>
    <w:qFormat/>
    <w:pPr>
      <w:spacing w:before="480" w:after="0" w:line="259" w:lineRule="auto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aa">
    <w:name w:val="Заголовок ФЗ"/>
    <w:qFormat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aliases w:val="Без интервала1,МИНИСТР"/>
    <w:link w:val="ac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Без интервала Знак"/>
    <w:aliases w:val="Без интервала1 Знак,МИНИСТР Знак"/>
    <w:link w:val="ab"/>
    <w:uiPriority w:val="1"/>
    <w:locked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a7">
    <w:name w:val="page number"/>
    <w:basedOn w:val="a0"/>
    <w:uiPriority w:val="99"/>
  </w:style>
  <w:style w:type="table" w:styleId="a8">
    <w:name w:val="Table Grid"/>
    <w:basedOn w:val="a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Наименование вида документа"/>
    <w:qFormat/>
    <w:pPr>
      <w:spacing w:before="480" w:after="0" w:line="259" w:lineRule="auto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aa">
    <w:name w:val="Заголовок ФЗ"/>
    <w:qFormat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aliases w:val="Без интервала1,МИНИСТР"/>
    <w:link w:val="ac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Без интервала Знак"/>
    <w:aliases w:val="Без интервала1 Знак,МИНИСТР Знак"/>
    <w:link w:val="ab"/>
    <w:uiPriority w:val="1"/>
    <w:locked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37063-3ECB-42AA-A427-2D4C1CCA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Владислав Владимирович</dc:creator>
  <cp:lastModifiedBy>Щербакова</cp:lastModifiedBy>
  <cp:revision>33</cp:revision>
  <dcterms:created xsi:type="dcterms:W3CDTF">2022-12-14T20:20:00Z</dcterms:created>
  <dcterms:modified xsi:type="dcterms:W3CDTF">2025-10-22T15:54:00Z</dcterms:modified>
</cp:coreProperties>
</file>