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23 октября 2025 г. N 63687-ДН/04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1.1 статьи 161</w:t>
        </w:r>
      </w:hyperlink>
      <w:r>
        <w:rPr>
          <w:sz w:val="24"/>
        </w:rPr>
        <w:t xml:space="preserve"> Жилищного кодекса Российской Федерации (далее - ЖК РФ) надлежащее содержание общего имущества собственников помещений в многоквартирном доме (далее - МКД) должно осуществляться в соответствии с требованиями законодательства Российской Федерации, в том числе в области обеспечения санитарно-эпидемиологического благополучия населения, о техническом регулировании, пожарной безопасности, защите прав потребителей.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"г" пункта 10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13.08.2006 N 491 (далее - Правила N 491), общее имущество, принадлежащее на праве общей долевой собственности собственникам помещений в МКД, должно содержаться в соответствии с требованиями законодательства Российской Федерации (в том числе о санитарно-эпидемиологическом благополучии населения, техническом регулировании, защите прав потребителей) в состоянии, обеспечивающем в том числе безопасность для жизни и здоровья граждан, сохранность имущества физических или юридических лиц, государственного, муниципального и иного имущества; соблюдение прав и законных интересов собственников помещений, а также иных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подпункту "в" пункта 11</w:t>
        </w:r>
      </w:hyperlink>
      <w:r>
        <w:rPr>
          <w:sz w:val="24"/>
        </w:rPr>
        <w:t xml:space="preserve"> Правил N 491 содержание общего имущества в МКД включает в себя в том числе поддержание помещений, входящих в состав общего имущества, в состоянии, обеспечивающем установленные законодательством Российской Федерации температуру и влажность в таких помещениях, в том числе посредством постоянного поддержания в открытом состоянии в течение всего календарного года одного продуха помещений подвалов и технических подполий, входящих в состав общего имущества, в случае наличия продухов в таких помещениях.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буквального толкования приведенной нормы следует, что один продух в подвалах и технических подпольях (при условии наличия продухов) должен быть постоянно открыт в течение всего года.</w:t>
      </w:r>
    </w:p>
    <w:p>
      <w:pPr>
        <w:pStyle w:val="0"/>
        <w:spacing w:before="240" w:lineRule="auto"/>
        <w:ind w:firstLine="540"/>
        <w:jc w:val="both"/>
      </w:pPr>
      <w:hyperlink w:history="0" r:id="rId1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и нормы технической эксплуатации жилищного фонда, утвержденные постановлением Госстроя России от 27.09.2003 N 170 (далее - Правила N 170), являются действующими и применяются в части, не противоречащей законодательству Российской Федерации.</w:t>
      </w:r>
    </w:p>
    <w:p>
      <w:pPr>
        <w:pStyle w:val="0"/>
        <w:spacing w:before="240" w:lineRule="auto"/>
        <w:ind w:firstLine="540"/>
        <w:jc w:val="both"/>
      </w:pPr>
      <w:hyperlink w:history="0" r:id="rId1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 3.4.1</w:t>
        </w:r>
      </w:hyperlink>
      <w:r>
        <w:rPr>
          <w:sz w:val="24"/>
        </w:rPr>
        <w:t xml:space="preserve"> Правил N 170 устанавливает, что организация по обслуживанию жилищного фонда должна обеспечить температурно-влажностный режим помещений подвалов и технических подполий, препятствующий выпадению конденсата на поверхностях ограждающих конструкций; чистоту и доступность прохода ко всем элементам подвала и технического подполья; защиту помещений от проникновения животных: грызунов, кошек, собак.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пункта 3.4.7</w:t>
        </w:r>
      </w:hyperlink>
      <w:r>
        <w:rPr>
          <w:sz w:val="24"/>
        </w:rPr>
        <w:t xml:space="preserve"> Правил N 170 на все проемы, каналы и отверстия технического подполья должны быть установлены сетки (размер ячейки - 0,5 см), защищающие здания от проникновения грызунов.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пункту 4.1.4</w:t>
        </w:r>
      </w:hyperlink>
      <w:r>
        <w:rPr>
          <w:sz w:val="24"/>
        </w:rPr>
        <w:t xml:space="preserve"> Правил N 170 площадь продухов должна составлять примерно 1/400 площади пола техподполья или подвала; располагаются продухи на противоположных стенах для сквозного проветривания (не менее 2-х продухов на каждой секции дома), желательно оборудовать продухи жалюзийными решетками.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Стоит отметить, что открытым является продух, обеспечивающий его функционирование по назначению, а именно обеспечение вентиляции (проветривания) соответствующего помещения, в котором оборудован продух.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оборудование продухов, проемов, каналов и отверстий сетками или жалюзийными решетками не означает, что такие продухи, проемы, каналы и отверстия являются закрытыми.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в рассматриваемом случае подлежат применению положения </w:t>
      </w:r>
      <w:hyperlink w:history="0" r:id="rId15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подпункта "в" пункта 11</w:t>
        </w:r>
      </w:hyperlink>
      <w:r>
        <w:rPr>
          <w:sz w:val="24"/>
        </w:rPr>
        <w:t xml:space="preserve"> Правил N 491 и положения </w:t>
      </w:r>
      <w:hyperlink w:history="0" r:id="rId16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170 в части, не противоречащей </w:t>
      </w:r>
      <w:hyperlink w:history="0" r:id="rId17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Правилам</w:t>
        </w:r>
      </w:hyperlink>
      <w:r>
        <w:rPr>
          <w:sz w:val="24"/>
        </w:rPr>
        <w:t xml:space="preserve"> N 491.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согласно </w:t>
      </w:r>
      <w:hyperlink w:history="0" r:id="rId18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1 статьи 16</w:t>
        </w:r>
      </w:hyperlink>
      <w:r>
        <w:rPr>
          <w:sz w:val="24"/>
        </w:rPr>
        <w:t xml:space="preserve"> Федерального закона от 27.12.2018 N 498-ФЗ "Об ответственном обращении с животными и о внесении изменений в отдельные законодательные акты Российской Федерации" (далее - Закон N 498-ФЗ) приюты для животных создаются в целях осуществления деятельности по содержанию животных, в том числе животных без владельцев, животных, от права собственности на которых владельцы отказались.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9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2 статьи 16</w:t>
        </w:r>
      </w:hyperlink>
      <w:r>
        <w:rPr>
          <w:sz w:val="24"/>
        </w:rPr>
        <w:t xml:space="preserve"> Закона N 498-ФЗ приюты для животных размещаются в специально предназначенных для этого зданиях, строениях, сооружениях.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Размещение животных в подвалах МКД, в которых имеются инженерные коммуникации, иное обслуживающее более одного помещения в данном доме оборудование и которые не предназначены для содержания животных, противоречат положениям </w:t>
      </w:r>
      <w:hyperlink w:history="0" r:id="rId20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498-ФЗ.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необходимо отметить, что в соответствии с </w:t>
      </w:r>
      <w:hyperlink w:history="0" r:id="rId21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и </w:t>
      </w:r>
      <w:hyperlink w:history="0" r:id="rId22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4 статьи 16</w:t>
        </w:r>
      </w:hyperlink>
      <w:r>
        <w:rPr>
          <w:sz w:val="24"/>
        </w:rPr>
        <w:t xml:space="preserve"> Закона N 498-ФЗ приюты для животных могут быть государственными, муниципальными, а также частными, при этом владельцами частных приютов для животных могут быть индивидуальные предприниматели или юридические лица.</w:t>
      </w:r>
    </w:p>
    <w:p>
      <w:pPr>
        <w:pStyle w:val="0"/>
        <w:spacing w:before="240" w:lineRule="auto"/>
        <w:ind w:firstLine="540"/>
        <w:jc w:val="both"/>
      </w:pPr>
      <w:hyperlink w:history="0" r:id="rId23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498-ФЗ не предусмотрена возможность определения в качестве владельцев приютов для животных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4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части 6 статьи 16</w:t>
        </w:r>
      </w:hyperlink>
      <w:r>
        <w:rPr>
          <w:sz w:val="24"/>
        </w:rPr>
        <w:t xml:space="preserve"> Закона N 498-ФЗ в отношении животных, находящихся в приютах для животных, владельцы приютов для животных и уполномоченные ими лица несут обязанности как владельцы животных.</w:t>
      </w:r>
    </w:p>
    <w:p>
      <w:pPr>
        <w:pStyle w:val="0"/>
        <w:spacing w:before="240" w:lineRule="auto"/>
        <w:ind w:firstLine="540"/>
        <w:jc w:val="both"/>
      </w:pPr>
      <w:hyperlink w:history="0" r:id="rId25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7 статьи 16</w:t>
        </w:r>
      </w:hyperlink>
      <w:r>
        <w:rPr>
          <w:sz w:val="24"/>
        </w:rPr>
        <w:t xml:space="preserve"> Закона N 498-ФЗ на владельцев приютов для животных и уполномоченных ими лиц возложены обязанности по соблюдению общих требований к содержанию животных, а также ряда дополнительных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положения жилищного законодательства, предусматривающие оборудование продухов, проемов, каналов и отверстий в подвалах МКД, не являющимися приютами для животных, сетками или жалюзийными решетками, не противоречат </w:t>
      </w:r>
      <w:hyperlink w:history="0" r:id="rId26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Закону</w:t>
        </w:r>
      </w:hyperlink>
      <w:r>
        <w:rPr>
          <w:sz w:val="24"/>
        </w:rPr>
        <w:t xml:space="preserve"> N 498-ФЗ.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Демонтаж сеток или жалюзийных решеток из продухов в подвале МКД сам по себе не приводит к признанию такого подвала МКД приютом для животных и не порождает возможность содержания животных в таком подвале без нарушения требований </w:t>
      </w:r>
      <w:hyperlink w:history="0" r:id="rId27" w:tooltip="Федеральный закон от 27.12.2018 N 498-ФЗ (ред. от 08.08.2024) &quot;Об ответственном обращении с животным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498-ФЗ.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23.10.2025 N 63687-ДН/04</w:t>
            <w:br/>
            <w:t>&lt;О содержании общего имущества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23.10.2025 N 63687-ДН/04 &lt;О содержании общего имущества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8132&amp;date=11.11.2025&amp;dst=101109&amp;field=134&amp;demo=2" TargetMode = "External"/><Relationship Id="rId8" Type="http://schemas.openxmlformats.org/officeDocument/2006/relationships/hyperlink" Target="https://login.consultant.ru/link/?req=doc&amp;base=LAW&amp;n=500914&amp;date=11.11.2025&amp;dst=100046&amp;field=134&amp;demo=2" TargetMode = "External"/><Relationship Id="rId9" Type="http://schemas.openxmlformats.org/officeDocument/2006/relationships/hyperlink" Target="https://login.consultant.ru/link/?req=doc&amp;base=LAW&amp;n=500914&amp;date=11.11.2025&amp;dst=100048&amp;field=134&amp;demo=2" TargetMode = "External"/><Relationship Id="rId10" Type="http://schemas.openxmlformats.org/officeDocument/2006/relationships/hyperlink" Target="https://login.consultant.ru/link/?req=doc&amp;base=LAW&amp;n=500914&amp;date=11.11.2025&amp;dst=30&amp;field=134&amp;demo=2" TargetMode = "External"/><Relationship Id="rId11" Type="http://schemas.openxmlformats.org/officeDocument/2006/relationships/hyperlink" Target="https://login.consultant.ru/link/?req=doc&amp;base=LAW&amp;n=44772&amp;date=11.11.2025&amp;dst=100012&amp;field=134&amp;demo=2" TargetMode = "External"/><Relationship Id="rId12" Type="http://schemas.openxmlformats.org/officeDocument/2006/relationships/hyperlink" Target="https://login.consultant.ru/link/?req=doc&amp;base=LAW&amp;n=44772&amp;date=11.11.2025&amp;dst=100293&amp;field=134&amp;demo=2" TargetMode = "External"/><Relationship Id="rId13" Type="http://schemas.openxmlformats.org/officeDocument/2006/relationships/hyperlink" Target="https://login.consultant.ru/link/?req=doc&amp;base=LAW&amp;n=44772&amp;date=11.11.2025&amp;dst=100305&amp;field=134&amp;demo=2" TargetMode = "External"/><Relationship Id="rId14" Type="http://schemas.openxmlformats.org/officeDocument/2006/relationships/hyperlink" Target="https://login.consultant.ru/link/?req=doc&amp;base=LAW&amp;n=44772&amp;date=11.11.2025&amp;dst=100491&amp;field=134&amp;demo=2" TargetMode = "External"/><Relationship Id="rId15" Type="http://schemas.openxmlformats.org/officeDocument/2006/relationships/hyperlink" Target="https://login.consultant.ru/link/?req=doc&amp;base=LAW&amp;n=500914&amp;date=11.11.2025&amp;dst=30&amp;field=134&amp;demo=2" TargetMode = "External"/><Relationship Id="rId16" Type="http://schemas.openxmlformats.org/officeDocument/2006/relationships/hyperlink" Target="https://login.consultant.ru/link/?req=doc&amp;base=LAW&amp;n=44772&amp;date=11.11.2025&amp;dst=100012&amp;field=134&amp;demo=2" TargetMode = "External"/><Relationship Id="rId17" Type="http://schemas.openxmlformats.org/officeDocument/2006/relationships/hyperlink" Target="https://login.consultant.ru/link/?req=doc&amp;base=LAW&amp;n=500914&amp;date=11.11.2025&amp;dst=100021&amp;field=134&amp;demo=2" TargetMode = "External"/><Relationship Id="rId18" Type="http://schemas.openxmlformats.org/officeDocument/2006/relationships/hyperlink" Target="https://login.consultant.ru/link/?req=doc&amp;base=LAW&amp;n=482855&amp;date=11.11.2025&amp;dst=100121&amp;field=134&amp;demo=2" TargetMode = "External"/><Relationship Id="rId19" Type="http://schemas.openxmlformats.org/officeDocument/2006/relationships/hyperlink" Target="https://login.consultant.ru/link/?req=doc&amp;base=LAW&amp;n=482855&amp;date=11.11.2025&amp;dst=100122&amp;field=134&amp;demo=2" TargetMode = "External"/><Relationship Id="rId20" Type="http://schemas.openxmlformats.org/officeDocument/2006/relationships/hyperlink" Target="https://login.consultant.ru/link/?req=doc&amp;base=LAW&amp;n=482855&amp;date=11.11.2025&amp;demo=2" TargetMode = "External"/><Relationship Id="rId21" Type="http://schemas.openxmlformats.org/officeDocument/2006/relationships/hyperlink" Target="https://login.consultant.ru/link/?req=doc&amp;base=LAW&amp;n=482855&amp;date=11.11.2025&amp;dst=100123&amp;field=134&amp;demo=2" TargetMode = "External"/><Relationship Id="rId22" Type="http://schemas.openxmlformats.org/officeDocument/2006/relationships/hyperlink" Target="https://login.consultant.ru/link/?req=doc&amp;base=LAW&amp;n=482855&amp;date=11.11.2025&amp;dst=100124&amp;field=134&amp;demo=2" TargetMode = "External"/><Relationship Id="rId23" Type="http://schemas.openxmlformats.org/officeDocument/2006/relationships/hyperlink" Target="https://login.consultant.ru/link/?req=doc&amp;base=LAW&amp;n=482855&amp;date=11.11.2025&amp;demo=2" TargetMode = "External"/><Relationship Id="rId24" Type="http://schemas.openxmlformats.org/officeDocument/2006/relationships/hyperlink" Target="https://login.consultant.ru/link/?req=doc&amp;base=LAW&amp;n=482855&amp;date=11.11.2025&amp;dst=100126&amp;field=134&amp;demo=2" TargetMode = "External"/><Relationship Id="rId25" Type="http://schemas.openxmlformats.org/officeDocument/2006/relationships/hyperlink" Target="https://login.consultant.ru/link/?req=doc&amp;base=LAW&amp;n=482855&amp;date=11.11.2025&amp;dst=100127&amp;field=134&amp;demo=2" TargetMode = "External"/><Relationship Id="rId26" Type="http://schemas.openxmlformats.org/officeDocument/2006/relationships/hyperlink" Target="https://login.consultant.ru/link/?req=doc&amp;base=LAW&amp;n=482855&amp;date=11.11.2025&amp;demo=2" TargetMode = "External"/><Relationship Id="rId27" Type="http://schemas.openxmlformats.org/officeDocument/2006/relationships/hyperlink" Target="https://login.consultant.ru/link/?req=doc&amp;base=LAW&amp;n=482855&amp;date=11.11.2025&amp;demo=2" TargetMode = "External"/><Relationship Id="rId28" Type="http://schemas.openxmlformats.org/officeDocument/2006/relationships/hyperlink" Target="https://login.consultant.ru/link/?req=doc&amp;base=LAW&amp;n=490536&amp;date=11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23.10.2025 N 63687-ДН/04
&lt;О содержании общего имущества в многоквартирном доме&gt;</dc:title>
  <dcterms:created xsi:type="dcterms:W3CDTF">2025-11-11T12:40:56Z</dcterms:created>
</cp:coreProperties>
</file>