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МЧС России от 22.09.2025 N 845</w:t>
              <w:br/>
              <w:t xml:space="preserve">"Об утверждении типовой дополнительной профессиональной программы повышения квалификации в области пожарной безопасности по виду профессиональной деятельности "Добровольный пожарный"</w:t>
              <w:br/>
              <w:t xml:space="preserve">(Зарегистрировано в Минюсте России 05.11.2025 N 84080)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11.11.2025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5 ноября 2025 г. N 84080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РОССИЙСКОЙ ФЕДЕРАЦИИ ПО ДЕЛАМ ГРАЖДАНСКОЙ</w:t>
      </w:r>
    </w:p>
    <w:p>
      <w:pPr>
        <w:pStyle w:val="2"/>
        <w:jc w:val="center"/>
      </w:pPr>
      <w:r>
        <w:rPr>
          <w:sz w:val="24"/>
        </w:rPr>
        <w:t xml:space="preserve">ОБОРОНЫ, ЧРЕЗВЫЧАЙНЫМ СИТУАЦИЯМ И ЛИКВИДАЦИИ</w:t>
      </w:r>
    </w:p>
    <w:p>
      <w:pPr>
        <w:pStyle w:val="2"/>
        <w:jc w:val="center"/>
      </w:pPr>
      <w:r>
        <w:rPr>
          <w:sz w:val="24"/>
        </w:rPr>
        <w:t xml:space="preserve">ПОСЛЕДСТВИЙ СТИХИЙНЫХ БЕДСТВИЙ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22 сентября 2025 г. N 845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</w:t>
      </w:r>
    </w:p>
    <w:p>
      <w:pPr>
        <w:pStyle w:val="2"/>
        <w:jc w:val="center"/>
      </w:pPr>
      <w:r>
        <w:rPr>
          <w:sz w:val="24"/>
        </w:rPr>
        <w:t xml:space="preserve">ТИПОВОЙ ДОПОЛНИТЕЛЬНОЙ ПРОФЕССИОНАЛЬНОЙ ПРОГРАММЫ ПОВЫШЕНИЯ</w:t>
      </w:r>
    </w:p>
    <w:p>
      <w:pPr>
        <w:pStyle w:val="2"/>
        <w:jc w:val="center"/>
      </w:pPr>
      <w:r>
        <w:rPr>
          <w:sz w:val="24"/>
        </w:rPr>
        <w:t xml:space="preserve">КВАЛИФИКАЦИИ В ОБЛАСТИ ПОЖАРНОЙ БЕЗОПАСНОСТИ ПО ВИДУ</w:t>
      </w:r>
    </w:p>
    <w:p>
      <w:pPr>
        <w:pStyle w:val="2"/>
        <w:jc w:val="center"/>
      </w:pPr>
      <w:r>
        <w:rPr>
          <w:sz w:val="24"/>
        </w:rPr>
        <w:t xml:space="preserve">ПРОФЕССИОНАЛЬНОЙ ДЕЯТЕЛЬНОСТИ "ДОБРОВОЛЬНЫЙ ПОЖАРНЫЙ"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06.05.2011 N 100-ФЗ (ред. от 04.08.2023) &quot;О добровольной пожарной охране&quot; {КонсультантПлюс}">
        <w:r>
          <w:rPr>
            <w:sz w:val="24"/>
            <w:color w:val="0000ff"/>
          </w:rPr>
          <w:t xml:space="preserve">частью 1 статьи 21</w:t>
        </w:r>
      </w:hyperlink>
      <w:r>
        <w:rPr>
          <w:sz w:val="24"/>
        </w:rPr>
        <w:t xml:space="preserve"> Федерального закона от 6 мая 2011 г. N 100-ФЗ "О добровольной пожарной охране", </w:t>
      </w:r>
      <w:hyperlink w:history="0" r:id="rId9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пунктом 8 части 7 статьи 76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 и </w:t>
      </w:r>
      <w:hyperlink w:history="0" r:id="rId10" w:tooltip="Указ Президента РФ от 11.07.2004 N 868 (ред. от 21.07.2025) &quot;Вопросы Министерства Российской Федерации по делам гражданской обороны, чрезвычайным ситуациям и ликвидации последствий стихийных бедствий&quot; (с изм. и доп., вступ. в силу с 01.09.2025)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Министерстве Российской Федерации по делам гражданской обороны, чрезвычайным ситуациям и ликвидации последствий стихийных бедствий, утвержденного Указом Президента Российской Федерации от 11 июля 2004 г. N 868,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типовую дополнительную профессиональную </w:t>
      </w:r>
      <w:hyperlink w:history="0" w:anchor="P38" w:tooltip="1. Типовая дополнительная профессиональная программа повышения квалификации в области пожарной безопасности по виду профессиональной деятельности &quot;Добровольный пожарный&quot; (далее - Типовая программа) разработана в соответствии с нормами Федерального закона от 29 декабря 2012 г. N 273-ФЗ &quot;Об образовании в Российской Федерации&quot; (далее - Федеральный закон N 273-ФЗ) и с учетом требований Порядка организации и осуществления образовательной деятельности по дополнительным профессиональным программам, утвержденног...">
        <w:r>
          <w:rPr>
            <w:sz w:val="24"/>
            <w:color w:val="0000ff"/>
          </w:rPr>
          <w:t xml:space="preserve">программу</w:t>
        </w:r>
      </w:hyperlink>
      <w:r>
        <w:rPr>
          <w:sz w:val="24"/>
        </w:rPr>
        <w:t xml:space="preserve"> повышения квалификации в области пожарной безопасности по виду профессиональной деятельности "Добровольный пожарный" согласно приложению к настоящему приказу.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Настоящий приказ вступает в силу с 1 марта 2026 г. и действует до 1 марта 2032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А.В.КУРЕНКОВ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Утверждена</w:t>
      </w:r>
    </w:p>
    <w:p>
      <w:pPr>
        <w:pStyle w:val="0"/>
        <w:jc w:val="right"/>
      </w:pPr>
      <w:r>
        <w:rPr>
          <w:sz w:val="24"/>
        </w:rPr>
        <w:t xml:space="preserve">приказом МЧС России</w:t>
      </w:r>
    </w:p>
    <w:p>
      <w:pPr>
        <w:pStyle w:val="0"/>
        <w:jc w:val="right"/>
      </w:pPr>
      <w:r>
        <w:rPr>
          <w:sz w:val="24"/>
        </w:rPr>
        <w:t xml:space="preserve">от 22 сентября 2025 г. N 845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ТИПОВАЯ ДОПОЛНИТЕЛЬНАЯ ПРОФЕССИОНАЛЬНАЯ ПРОГРАММА</w:t>
      </w:r>
    </w:p>
    <w:p>
      <w:pPr>
        <w:pStyle w:val="2"/>
        <w:jc w:val="center"/>
      </w:pPr>
      <w:r>
        <w:rPr>
          <w:sz w:val="24"/>
        </w:rPr>
        <w:t xml:space="preserve">ПОВЫШЕНИЯ КВАЛИФИКАЦИИ В ОБЛАСТИ ПОЖАРНОЙ БЕЗОПАСНОСТИ</w:t>
      </w:r>
    </w:p>
    <w:p>
      <w:pPr>
        <w:pStyle w:val="2"/>
        <w:jc w:val="center"/>
      </w:pPr>
      <w:r>
        <w:rPr>
          <w:sz w:val="24"/>
        </w:rPr>
        <w:t xml:space="preserve">ПО ВИДУ ПРОФЕССИОНАЛЬНОЙ ДЕЯТЕЛЬНОСТИ</w:t>
      </w:r>
    </w:p>
    <w:p>
      <w:pPr>
        <w:pStyle w:val="2"/>
        <w:jc w:val="center"/>
      </w:pPr>
      <w:r>
        <w:rPr>
          <w:sz w:val="24"/>
        </w:rPr>
        <w:t xml:space="preserve">"ДОБРОВОЛЬНЫЙ ПОЖАРНЫЙ"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both"/>
      </w:pPr>
      <w:r>
        <w:rPr>
          <w:sz w:val="24"/>
        </w:rPr>
      </w:r>
    </w:p>
    <w:bookmarkStart w:id="38" w:name="P38"/>
    <w:bookmarkEnd w:id="38"/>
    <w:p>
      <w:pPr>
        <w:pStyle w:val="0"/>
        <w:ind w:firstLine="540"/>
        <w:jc w:val="both"/>
      </w:pPr>
      <w:r>
        <w:rPr>
          <w:sz w:val="24"/>
        </w:rPr>
        <w:t xml:space="preserve">1. Типовая дополнительная профессиональная программа повышения квалификации в области пожарной безопасности по виду профессиональной деятельности "Добровольный пожарный" (далее - Типовая программа) разработана в соответствии с нормами Федерального </w:t>
      </w:r>
      <w:hyperlink w:history="0" r:id="rId11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29 декабря 2012 г. N 273-ФЗ "Об образовании в Российской Федерации" (далее - Федеральный закон N 273-ФЗ) и с учетом требований </w:t>
      </w:r>
      <w:hyperlink w:history="0" r:id="rId12" w:tooltip="Приказ Минобрнауки России от 24.03.2025 N 266 &quot;Об утверждении Порядка организации и осуществления образовательной деятельности по дополнительным профессиональным программам&quot; (Зарегистрировано в Минюсте России 22.04.2025 N 81928) {КонсультантПлюс}">
        <w:r>
          <w:rPr>
            <w:sz w:val="24"/>
            <w:color w:val="0000ff"/>
          </w:rPr>
          <w:t xml:space="preserve">Порядка</w:t>
        </w:r>
      </w:hyperlink>
      <w:r>
        <w:rPr>
          <w:sz w:val="24"/>
        </w:rPr>
        <w:t xml:space="preserve"> организации и осуществления образовательной деятельности по дополнительным профессиональным программам, утвержденного приказом Министерства науки и высшего образования Российской Федерации от 24 марта 2025 г. N 266 &lt;1&gt;, а также профессионального </w:t>
      </w:r>
      <w:hyperlink w:history="0" r:id="rId13" w:tooltip="Приказ Минтруда России от 07.09.2020 N 575н &quot;Об утверждении профессионального стандарта &quot;Пожарный&quot; (Зарегистрировано в Минюсте России 25.09.2020 N 60031) {КонсультантПлюс}">
        <w:r>
          <w:rPr>
            <w:sz w:val="24"/>
            <w:color w:val="0000ff"/>
          </w:rPr>
          <w:t xml:space="preserve">стандарта</w:t>
        </w:r>
      </w:hyperlink>
      <w:r>
        <w:rPr>
          <w:sz w:val="24"/>
        </w:rPr>
        <w:t xml:space="preserve"> "Пожарный", утвержденного приказом Министерства труда и социальной защиты Российской Федерации от 7 сентября 2020 г. N 575н &lt;2&gt;.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Зарегистрирован Министерством юстиции Российской Федерации 22 апреля 2025 г., регистрационный N 81928.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Зарегистрирован Министерством юстиции Российской Федерации 25 сентября 2020 г., регистрационный N 60031.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Типовая программа направлена на совершенствование и (или) получение новой компетенции, необходимой для профессиональной деятельности, и (или) повышение профессионального уровня в рамках имеющейся квалификации &lt;3&gt;.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</w:t>
      </w:r>
      <w:hyperlink w:history="0" r:id="rId14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 4 статьи 76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Обучение проводится по образовательной программе, разработанной организацией, осуществляющей образовательную деятельность (далее - Программа), на основании Типовой программы.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К обучению допускаются лица, имеющие или получающие среднее профессиональное и (или) высшее образование &lt;4&gt; (далее - слушатели).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</w:t>
      </w:r>
      <w:hyperlink w:history="0" r:id="rId15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 3 статьи 76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5. Структура Программы должна соответствовать Типовой программе.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Программа построена на модульном принципе представления содержания обучения и построении учебных планов, которые позволяют обеспечить дифференцированный подход к проведению подготовки слушателей с учетом их образования, квалификации и опыта.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получения слушателями знаний и умений Программой предусматривается проведение лекционных и практических занятий, являющихся составной частью образовательного процесса.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Освоение Программы завершается итоговой аттестацией &lt;5&gt;.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&lt;5&gt; </w:t>
      </w:r>
      <w:hyperlink w:history="0" r:id="rId16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 14 статьи 76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Формы обучения слушателей (очная, очно-заочная) и сроки освоения дополнительной профессиональной программы определяются Программой и (или) договором об образовании &lt;6&gt;. Срок освоения Программы должен обеспечивать возможность достижения планируемых результатов и получение новой компетенции (квалификации), заявленных в программе, и составлять не менее 16 часов &lt;7&gt;. Повышение квалификации может осуществляться с применением электронного обучения и дистанционных образовательных технологий, а также с использованием сетевой формы реализации Программы &lt;8&gt;.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&lt;6&gt; </w:t>
      </w:r>
      <w:hyperlink w:history="0" r:id="rId17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 13 статьи 76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&lt;7&gt; </w:t>
      </w:r>
      <w:hyperlink w:history="0" r:id="rId18" w:tooltip="Приказ Минобрнауки России от 24.03.2025 N 266 &quot;Об утверждении Порядка организации и осуществления образовательной деятельности по дополнительным профессиональным программам&quot; (Зарегистрировано в Минюсте России 22.04.2025 N 81928) {КонсультантПлюс}">
        <w:r>
          <w:rPr>
            <w:sz w:val="24"/>
            <w:color w:val="0000ff"/>
          </w:rPr>
          <w:t xml:space="preserve">Пункт 18</w:t>
        </w:r>
      </w:hyperlink>
      <w:r>
        <w:rPr>
          <w:sz w:val="24"/>
        </w:rPr>
        <w:t xml:space="preserve"> Порядка организации и осуществления образовательной деятельности по дополнительным профессиональным программам, утвержденного приказом Министерства науки и высшего образования Российской Федерации от 24 марта 2025 г. N 266.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&lt;8&gt; </w:t>
      </w:r>
      <w:hyperlink w:history="0" r:id="rId19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 1 статьи 13</w:t>
        </w:r>
      </w:hyperlink>
      <w:r>
        <w:rPr>
          <w:sz w:val="24"/>
        </w:rPr>
        <w:t xml:space="preserve"> и </w:t>
      </w:r>
      <w:hyperlink w:history="0" r:id="rId20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 1 статьи 16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Цель и задачи обучения по Программе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 Целью освоения Программы является совершенствование и (или) получение новых компетенций, необходимых в сфере выполнения работ по профилактике и тушению пожаров в составе добровольных пожарных подразделений, и (или) повышение профессионального уровня в рамках имеющейся квалификации.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Задачами освоения Программы слушателями являются совершенствование и (или) получение новых: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теоретических знаний по пожарно-технической продукции, современным технологиям обработки и учета информации в профессиональной деятельности;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теоретических знаний и практических навыков при участии в тушении пожаров, а также тактики тушения пожаров на различных объектах и проведения аварийно-спасательных работ (далее - АСР).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В ходе освоения Программы будут усовершенствованы и (или) получены следующие профессиональные компетенции: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способность и готовность к выполнению работ по локализации и ликвидации пожара в составе добровольного пожарного подразделения;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способность и готовность к выполнению в составе добровольного пожарного подразделения АСР и оказание первой помощи пострадавшим при пожаре;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способность и готовность к выполнению в составе добровольного пожарного подразделения работ по приемке (передаче) и содержанию в исправном состоянии средств пожаротушения, пожарного оборудования и инструмента;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способность и готовность к выполнению работ по профилактике пожаров.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Организационно-педагогические условия</w:t>
      </w:r>
    </w:p>
    <w:p>
      <w:pPr>
        <w:pStyle w:val="2"/>
        <w:jc w:val="center"/>
      </w:pPr>
      <w:r>
        <w:rPr>
          <w:sz w:val="24"/>
        </w:rPr>
        <w:t xml:space="preserve">реализации Программы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11. Реализация Программы должна обеспечить приобретение слушателями знаний и умений, необходимых добровольным пожарным для осуществления деятельности по участию в профилактике и (или) тушении пожаров и проведении АСР в населенных пунктах, на производственных объектах и объектах инфраструктуры.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Выбор методов обучения для каждого занятия определяется преподавателем в соответствии с составом и уровнем подготовленности слушателей, степенью сложности излагаемого материала, наличием и состоянием учебного оборудования, технических средств обучения, местом и продолжительностью проведения занятий.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Лекционные занятия проводятся с целью изучения нового учебного материала. Изложение материала необходимо вести в форме, доступной для понимания слушателей, соблюдать единство терминологии, определений и условных обозначений, соответствующих международным договорам и нормативным правовым актам. В ходе занятий преподаватель обязан соотносить новый материал с ранее изученным, дополнять основные положения примерами из практики, соблюдать логическую последовательность изложения.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Практические занятия проводятся с целью закрепления теоретических знаний и выработки у слушателей практических навыков и компетенций по профилю Программы.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В целях закрепления полученных при обучении лекционных знаний и практических умений, необходимых для безопасного выполнения работ, а также освоения и выработки непосредственно на рабочем месте практических навыков, безопасных методов и приемов выполнения работ слушатель может пройти стажировку на рабочем месте под руководством более опытного специалиста.</w:t>
      </w:r>
    </w:p>
    <w:p>
      <w:pPr>
        <w:pStyle w:val="0"/>
        <w:jc w:val="both"/>
      </w:pPr>
      <w:r>
        <w:rPr>
          <w:sz w:val="24"/>
        </w:rPr>
      </w:r>
    </w:p>
    <w:bookmarkStart w:id="86" w:name="P86"/>
    <w:bookmarkEnd w:id="86"/>
    <w:p>
      <w:pPr>
        <w:pStyle w:val="2"/>
        <w:outlineLvl w:val="1"/>
        <w:jc w:val="center"/>
      </w:pPr>
      <w:r>
        <w:rPr>
          <w:sz w:val="24"/>
        </w:rPr>
        <w:t xml:space="preserve">IV. Типовой учебный план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5102"/>
        <w:gridCol w:w="737"/>
        <w:gridCol w:w="1361"/>
        <w:gridCol w:w="1304"/>
      </w:tblGrid>
      <w:tr>
        <w:tc>
          <w:tcPr>
            <w:tcW w:w="56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510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учебной темы</w:t>
            </w:r>
          </w:p>
        </w:tc>
        <w:tc>
          <w:tcPr>
            <w:gridSpan w:val="3"/>
            <w:tcW w:w="340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часов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73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всего</w:t>
            </w:r>
          </w:p>
        </w:tc>
        <w:tc>
          <w:tcPr>
            <w:gridSpan w:val="2"/>
            <w:tcW w:w="266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том числе: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лекционные занятия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практические занятия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Основы законодательства Российской Федерации в области пожарной безопасности</w:t>
            </w:r>
          </w:p>
        </w:tc>
        <w:tc>
          <w:tcPr>
            <w:tcW w:w="7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36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Тактика тушения пожаров и проведение аварийно-спасательных работ</w:t>
            </w:r>
          </w:p>
        </w:tc>
        <w:tc>
          <w:tcPr>
            <w:tcW w:w="7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36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Боевые действия по тушению пожаров</w:t>
            </w:r>
          </w:p>
        </w:tc>
        <w:tc>
          <w:tcPr>
            <w:tcW w:w="7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36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Пожарная и аварийно-спасательная техника</w:t>
            </w:r>
          </w:p>
        </w:tc>
        <w:tc>
          <w:tcPr>
            <w:tcW w:w="7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36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Пожарно-профилактическая подготовка</w:t>
            </w:r>
          </w:p>
        </w:tc>
        <w:tc>
          <w:tcPr>
            <w:tcW w:w="7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36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Пожарно-строевая подготовка</w:t>
            </w:r>
          </w:p>
        </w:tc>
        <w:tc>
          <w:tcPr>
            <w:tcW w:w="7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36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Оказание первой помощи пострадавшим при пожаре</w:t>
            </w:r>
          </w:p>
        </w:tc>
        <w:tc>
          <w:tcPr>
            <w:tcW w:w="7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6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Охрана труда</w:t>
            </w:r>
          </w:p>
        </w:tc>
        <w:tc>
          <w:tcPr>
            <w:tcW w:w="7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6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Итоговая аттестация</w:t>
            </w:r>
          </w:p>
        </w:tc>
        <w:tc>
          <w:tcPr>
            <w:tcW w:w="7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36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10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Итого по программе</w:t>
            </w:r>
          </w:p>
        </w:tc>
        <w:tc>
          <w:tcPr>
            <w:tcW w:w="73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</w:t>
            </w:r>
          </w:p>
        </w:tc>
        <w:tc>
          <w:tcPr>
            <w:tcW w:w="136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16. Объем учебного времени Программы, необходимого для достижения слушателями необходимых компетенций, а также календарный учебный график, рабочие и (или) примерные программы учебных тем и иные компоненты (в том числе оценочные и методические материалы) определяются организацией, осуществляющей образовательную деятельность, с учетом потребностей лица, организации, по инициативе которых осуществляется дополнительное профессиональное образование.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Типовой календарный учебный график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98"/>
        <w:gridCol w:w="907"/>
        <w:gridCol w:w="907"/>
        <w:gridCol w:w="850"/>
        <w:gridCol w:w="850"/>
        <w:gridCol w:w="850"/>
        <w:gridCol w:w="850"/>
        <w:gridCol w:w="850"/>
        <w:gridCol w:w="907"/>
      </w:tblGrid>
      <w:tr>
        <w:tc>
          <w:tcPr>
            <w:tcW w:w="209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Неделя обучения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Итого часов</w:t>
            </w:r>
          </w:p>
        </w:tc>
      </w:tr>
      <w:tr>
        <w:tc>
          <w:tcPr>
            <w:vMerge w:val="continue"/>
          </w:tcPr>
          <w:p/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понедельник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вторник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среда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четверг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пятница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суббота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воскресенье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неделя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</w:tr>
      <w:tr>
        <w:tc>
          <w:tcPr>
            <w:tcW w:w="209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неделя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9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Атт</w:t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gridSpan w:val="9"/>
            <w:tcW w:w="906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Атт - итоговая аттестация.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17. Количество учебных часов в день определяется организацией, осуществляющей образовательную деятельность, самостоятельно, но не более 8 учебных часов в день при очной форме обучения, итоговая аттестация - не более 2 часов.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VI. Содержание Программы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18. Содержание Программы должно включать все учебные темы, указанные в типовом учебном плане в соответствии с </w:t>
      </w:r>
      <w:hyperlink w:history="0" w:anchor="P86" w:tooltip="IV. Типовой учебный план">
        <w:r>
          <w:rPr>
            <w:sz w:val="24"/>
            <w:color w:val="0000ff"/>
          </w:rPr>
          <w:t xml:space="preserve">главой IV</w:t>
        </w:r>
      </w:hyperlink>
      <w:r>
        <w:rPr>
          <w:sz w:val="24"/>
        </w:rPr>
        <w:t xml:space="preserve"> Типовой программы.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19. Программа содержит обязательный перечень учебных тем, предусмотренных типовым учебным планом.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VII. Содержание учебных тем Программы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20. Содержание учебной темы "Основы законодательства Российской Федерации в области пожарной безопасности":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Основы законодательства Российской Федерации в области пожарной безопасности. Виды пожарной охраны. Основные задачи и организация деятельности пожарной охраны, в том числе добровольной пожарной охраны. Территориальные и местные пожарно-спасательные гарнизоны. Порядок привлечения сил и средств подразделений пожарной охраны, пожарно-спасательных гарнизонов для тушения пожаров и проведения АСР. Организация гарнизонной и караульной служб.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21. Содержание учебной темы "Тактика тушения пожаров и проведение аварийно-спасательных работ":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Основы организации тушения пожаров и ликвидации чрезвычайных ситуаций. Основы прекращения горения на пожаре. Огнетушащие вещества. Тактические возможности подразделений по тушению пожаров и ликвидации чрезвычайных ситуаций. Обязанности, права и ответственность участников тушения пожара. Особенности тушения пожаров в жилых и общественных зданиях, на промышленных объектах, на открытых пространствах твердых горючих материалов и на транспорте. Особенности тушения пожаров в сельской местности. Основы тушения лесных и иных ландшафтных (природных) пожаров.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22. Содержание учебной темы "Боевые действия по тушению пожаров":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Начало и окончание боевых действий по тушению пожаров. Разведка пожара. Боевые действия по тушению пожаров, проводимые до прибытия к месту пожара (прием и обработка сообщения о пожаре, выезд и следование к месту пожара). Боевые действия по тушению пожаров, проводимые на месте пожара (прибытие к месту пожара, управление силами и средствами на месте пожара, спасение людей, боевое развертывание сил и средств, локализация и ликвидация горения, проведение АСР, связанных с тушением пожара, и других специальных работ). Боевые действия по тушению пожаров, проводимые после тушения пожара (сбор и следование в место постоянной дислокации, восстановление боеготовности подразделения пожарной охраны).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 Содержание учебной темы "Пожарная и аварийно-спасательная техника":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Организация применения пожарной и аварийно-спасательной техники. Первичные средства тушения пожара. Специальная защитная одежда и снаряжение пожарных. Ручные пожарные лестницы. Назначение, устройство, правила применения и испытания ручных пожарных лестниц. Пожарные насосы. Основные пожарные автомобили. Специальные пожарные и аварийно-спасательные автомобили. Средства связи, правила ведения радиообмена и требования радиодисциплины. Аварийно-спасательное оборудование и пожарный инструмент. Пожарные рукава и рукавная арматура. Приборы подачи огнетушащих веществ. Средства индивидуальной защиты.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 Содержание учебной темы "Пожарно-профилактическая подготовка":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Классификация пожаров. Опасные факторы пожара и последствия их воздействия на людей. Реализация прав, обязанностей и ответственности в области пожарной безопасности. Обеспечение устойчивости зданий и сооружений при пожаре. Противопожарное водоснабжение. Автоматические установки обнаружения и тушения пожаров. Обеспечение безопасности людей при пожаре. Организация и осуществление профилактики пожаров. Противопожарная пропаганда и информирование населения о мерах пожарной безопасности.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25. Содержание учебной темы "Пожарно-строевая подготовка":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Упражнения с ручными пожарными лестницами. Упражнения с пожарными рукавами, стволами и разветвлениями. Упражнения по спасанию и эвакуации пострадавших. Упражнения по боевому развертыванию пожарных расчетов. Упражнения с аварийно-спасательным оборудованием и инструментом.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26. Содержание учебной темы "Оказание первой помощи пострадавшим при пожаре":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Первая помощь: содержание, объем, организационные и юридические основы, общие принципы оказания первой помощи. Средства для оказания первой помощи. Основы сердечно-легочной реанимации. Асфиксия и электротравма. Первая помощь при ранениях. Первая помощь при кровотечениях. Первая помощь при переломах и вывихах. Травматический шок. Синдром длительного сдавливания. Первая помощь при ожогах и обморожениях. Транспортировка пострадавших.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27. Содержание учебной темы "Охрана труда":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Основные требования законодательства Российской Федерации об охране труда. Требования нормативных правовых актов к порядку расследования и учету несчастных случаев на производстве. Требования правил охраны труда к объектам пожарной охраны и служебным помещениям. Требования правил охраны труда при несении караульной службы. Требования правил охраны труда при проведении практических занятий. Требования правил охраны труда при применении пожарно-технического и аварийно-спасательного оборудования. Требования правил охраны труда при осуществлении профилактики пожаров, участии в тушении пожаров и проведении АСР.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VIII. Оценка качества освоения Программы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28. Для оценки степени и уровня освоения Программы по завершении обучения проводится итоговая аттестация, к которой допускаются слушатели, освоившие Программу в полном объеме.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29. Итоговая аттестация слушателей проводится организацией, осуществляющей образовательную деятельность, для определения соответствия полученных знаний, умений и навыков Программе &lt;9&gt;.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&lt;9&gt; </w:t>
      </w:r>
      <w:hyperlink w:history="0" r:id="rId21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 1 статьи 59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30. Итоговая аттестация по Программе проводится в форме экзамена. Экзамен включает в себя проверку теоретических знаний в форме письменного задания, которое может дополняться устным опросом, а также проверку приобретенных умений и навыков в форме выполнения комплексного практического задания в реальных условиях.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 проведению итоговой аттестации могут привлекаться представители организаций, по инициативе которых осуществляется дополнительное профессиональное образование.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31. Слушателям, успешно освоившим Программу и прошедшим итоговую аттестацию, выдается документ о квалификации (удостоверение о повышении квалификации), оформляемый на бланке, образец которого самостоятельно устанавливается организацией, осуществляющей образовательную деятельность &lt;10&gt;.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&lt;10&gt; </w:t>
      </w:r>
      <w:hyperlink w:history="0" r:id="rId22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 3</w:t>
        </w:r>
      </w:hyperlink>
      <w:r>
        <w:rPr>
          <w:sz w:val="24"/>
        </w:rPr>
        <w:t xml:space="preserve"> и </w:t>
      </w:r>
      <w:hyperlink w:history="0" r:id="rId23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 10 статьи 60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При освоении Программы параллельно с получением среднего профессионального образования и (или) высшего образования удостоверение о повышении квалификации выдается одновременно с получением соответствующего документа об образовании и о квалификации &lt;11&gt;.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&lt;11&gt; </w:t>
      </w:r>
      <w:hyperlink w:history="0" r:id="rId24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 16 статьи 76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32. Слушателям, не прошедшим итоговую аттестацию или получившим на итоговой аттестации неудовлетворительные результаты, а также слушателям, освоившим часть Программы и (или) отчисленным из организации, осуществляющей образовательную деятельность, выдается справка об обучении или о периоде обучения по образцу, самостоятельно устанавливаемому такой организацией &lt;12&gt;.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&lt;12&gt; </w:t>
      </w:r>
      <w:hyperlink w:history="0" r:id="rId25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 12 статьи 60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IX. Планируемые результаты освоения Программы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33. В результате освоения Программы слушатель должен знать: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организационные основы обеспечения пожарной безопасности;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законодательные и иные нормативные правовые акты Российской Федерации в области пожарной безопасности;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структуру, назначение и задачи пожарной охраны, в том числе добровольной пожарной охраны;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организацию и несение караульной службы пожарной охраны;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устройство и правила применения специальной защитной одежды и снаряжения, спасательных средств, механизированного и немеханизированного ручного инструмента, аварийно-спасательного оборудования, пожарных рукавов, рукавного оборудования, средств и оборудования пенного тушения, ручных пожарных лестниц, огнетушителей;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виды, назначение, устройство и технические характеристики основных пожарных автомобилей;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правила содержания и применения пожарно-технического и аварийно-спасательного оборудования;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правила охраны труда при работе с пожарно-техническим и аварийно-спасательным оборудованием;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основные правила ведения радиообмена и требования радиодисциплины;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способы локализации и ликвидации горения, условия прекращения горения различными способами;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классификацию пожаров, опасные факторы пожара и последствия их воздействия на людей, основные пожаровзрывоопасные свойства веществ и материалов;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основную задачу на пожаре и при проведении АСР;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основные действия подразделений пожарной охраны по тушению пожара и проведению АСР;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меры безопасности при ведении основных действий на пожаре и при проведении АСР.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34. В результате освоения Программы слушатель должен уметь: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применять специальную защитную одежду и снаряжение, спасательные средства, механизированный и немеханизированный ручной инструмент, аварийно-спасательное оборудование, пожарные рукава, рукавное оборудование, средства и оборудование пенного тушения, ручные пожарные лестницы, огнетушители;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организовать и проводить действия при локализации и ликвидации пожаров и АСР;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применять пожарную технику, пожарно-техническое и аварийно-спасательное оборудование при тушении пожаров;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работать со средствами связи, применяемыми в пожарной охране.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35. В результате освоения Программы слушатель должен владеть навыками несения гарнизонной и караульной службы и проведения действий при локализации и ликвидации пожаров.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X. Оценочные материалы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36. Пример тестового задания: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0"/>
        <w:gridCol w:w="2778"/>
        <w:gridCol w:w="4309"/>
        <w:gridCol w:w="1473"/>
      </w:tblGrid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Вопрос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Варианты ответов</w:t>
            </w:r>
          </w:p>
        </w:tc>
        <w:tc>
          <w:tcPr>
            <w:tcW w:w="147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Правильный ответ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77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Что относится к видам пожарной охраны и каким нормативным правовым актом это установлено:</w:t>
            </w:r>
          </w:p>
        </w:tc>
        <w:tc>
          <w:tcPr>
            <w:tcW w:w="430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А. негосударственная пожарная охрана, Федеральный </w:t>
            </w:r>
            <w:hyperlink w:history="0" r:id="rId26" w:tooltip="Федеральный закон от 06.05.2011 N 100-ФЗ (ред. от 04.08.2023) &quot;О добровольной пожарной охране&quot; {КонсультантПлюс}">
              <w:r>
                <w:rPr>
                  <w:sz w:val="24"/>
                  <w:color w:val="0000ff"/>
                </w:rPr>
                <w:t xml:space="preserve">закон</w:t>
              </w:r>
            </w:hyperlink>
            <w:r>
              <w:rPr>
                <w:sz w:val="24"/>
              </w:rPr>
              <w:t xml:space="preserve"> от 6 мая 2011 г. N 100-ФЗ "О добровольной пожарной охране";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Б. специальная пожарная охрана, Федеральный </w:t>
            </w:r>
            <w:hyperlink w:history="0" r:id="rId27" w:tooltip="Федеральный закон от 22.07.2008 N 123-ФЗ (ред. от 25.12.2023) &quot;Технический регламент о требованиях пожарной безопасности&quot; {КонсультантПлюс}">
              <w:r>
                <w:rPr>
                  <w:sz w:val="24"/>
                  <w:color w:val="0000ff"/>
                </w:rPr>
                <w:t xml:space="preserve">закон</w:t>
              </w:r>
            </w:hyperlink>
            <w:r>
              <w:rPr>
                <w:sz w:val="24"/>
              </w:rPr>
              <w:t xml:space="preserve"> от 22 июля 2008 г. N 123-ФЗ "Технический регламент о требованиях пожарной безопасности";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В. добровольная пожарная охрана, Федеральный </w:t>
            </w:r>
            <w:hyperlink w:history="0" r:id="rId28" w:tooltip="Федеральный закон от 21.12.1994 N 69-ФЗ (ред. от 07.07.2025) &quot;О пожарной безопасности&quot; {КонсультантПлюс}">
              <w:r>
                <w:rPr>
                  <w:sz w:val="24"/>
                  <w:color w:val="0000ff"/>
                </w:rPr>
                <w:t xml:space="preserve">закон</w:t>
              </w:r>
            </w:hyperlink>
            <w:r>
              <w:rPr>
                <w:sz w:val="24"/>
              </w:rPr>
              <w:t xml:space="preserve"> от 21 декабря 1994 г. N 69-ФЗ "О пожарной безопасности".</w:t>
            </w:r>
          </w:p>
        </w:tc>
        <w:tc>
          <w:tcPr>
            <w:tcW w:w="147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37. Пример практической задачи: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Индивидуальное надевание боевой одежды и снаряжения пожарного ("отлично" - 27 сек, "хорошо" - 30 сек, "удовлетворительно" - 33 сек).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Боевая одежда и снаряжение уложены любым способом. Пояс с закрепленным на нем карабином и пожарным топором в кобуре лежит под одеждой. Подкасник может находиться рядом с уложенной боевой одеждой или внутри каски. Рукавицы (краги) кладутся в карманы куртки, при отсутствии карманов - под пояс.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Исполнитель стоит в положении "смирно" в одном метре от боевой одежды и снаряжения лицом к ним.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Окончание: боевая одежда и снаряжение надеты, куртка застегнута на все пуговицы (крючки), пояс застегнут и заправлен под пряжку, подбородочный ремень каски подтянут.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МЧС России от 22.09.2025 N 845</w:t>
            <w:br/>
            <w:t>"Об утверждении типовой дополнительной профессиональной программы повышения квалиф...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54041&amp;date=11.11.2025&amp;dst=6&amp;field=134&amp;demo=2" TargetMode = "External"/><Relationship Id="rId9" Type="http://schemas.openxmlformats.org/officeDocument/2006/relationships/hyperlink" Target="https://login.consultant.ru/link/?req=doc&amp;base=LAW&amp;n=516721&amp;date=11.11.2025&amp;dst=579&amp;field=134&amp;demo=2" TargetMode = "External"/><Relationship Id="rId10" Type="http://schemas.openxmlformats.org/officeDocument/2006/relationships/hyperlink" Target="https://login.consultant.ru/link/?req=doc&amp;base=LAW&amp;n=510436&amp;date=11.11.2025&amp;dst=100033&amp;field=134&amp;demo=2" TargetMode = "External"/><Relationship Id="rId11" Type="http://schemas.openxmlformats.org/officeDocument/2006/relationships/hyperlink" Target="https://login.consultant.ru/link/?req=doc&amp;base=LAW&amp;n=516721&amp;date=11.11.2025&amp;dst=579&amp;field=134&amp;demo=2" TargetMode = "External"/><Relationship Id="rId12" Type="http://schemas.openxmlformats.org/officeDocument/2006/relationships/hyperlink" Target="https://login.consultant.ru/link/?req=doc&amp;base=LAW&amp;n=503832&amp;date=11.11.2025&amp;dst=100013&amp;field=134&amp;demo=2" TargetMode = "External"/><Relationship Id="rId13" Type="http://schemas.openxmlformats.org/officeDocument/2006/relationships/hyperlink" Target="https://login.consultant.ru/link/?req=doc&amp;base=LAW&amp;n=363412&amp;date=11.11.2025&amp;dst=100009&amp;field=134&amp;demo=2" TargetMode = "External"/><Relationship Id="rId14" Type="http://schemas.openxmlformats.org/officeDocument/2006/relationships/hyperlink" Target="https://login.consultant.ru/link/?req=doc&amp;base=LAW&amp;n=516721&amp;date=11.11.2025&amp;dst=101008&amp;field=134&amp;demo=2" TargetMode = "External"/><Relationship Id="rId15" Type="http://schemas.openxmlformats.org/officeDocument/2006/relationships/hyperlink" Target="https://login.consultant.ru/link/?req=doc&amp;base=LAW&amp;n=516721&amp;date=11.11.2025&amp;dst=101005&amp;field=134&amp;demo=2" TargetMode = "External"/><Relationship Id="rId16" Type="http://schemas.openxmlformats.org/officeDocument/2006/relationships/hyperlink" Target="https://login.consultant.ru/link/?req=doc&amp;base=LAW&amp;n=516721&amp;date=11.11.2025&amp;dst=101018&amp;field=134&amp;demo=2" TargetMode = "External"/><Relationship Id="rId17" Type="http://schemas.openxmlformats.org/officeDocument/2006/relationships/hyperlink" Target="https://login.consultant.ru/link/?req=doc&amp;base=LAW&amp;n=516721&amp;date=11.11.2025&amp;dst=101017&amp;field=134&amp;demo=2" TargetMode = "External"/><Relationship Id="rId18" Type="http://schemas.openxmlformats.org/officeDocument/2006/relationships/hyperlink" Target="https://login.consultant.ru/link/?req=doc&amp;base=LAW&amp;n=503832&amp;date=11.11.2025&amp;dst=100094&amp;field=134&amp;demo=2" TargetMode = "External"/><Relationship Id="rId19" Type="http://schemas.openxmlformats.org/officeDocument/2006/relationships/hyperlink" Target="https://login.consultant.ru/link/?req=doc&amp;base=LAW&amp;n=516721&amp;date=11.11.2025&amp;dst=100238&amp;field=134&amp;demo=2" TargetMode = "External"/><Relationship Id="rId20" Type="http://schemas.openxmlformats.org/officeDocument/2006/relationships/hyperlink" Target="https://login.consultant.ru/link/?req=doc&amp;base=LAW&amp;n=516721&amp;date=11.11.2025&amp;dst=100266&amp;field=134&amp;demo=2" TargetMode = "External"/><Relationship Id="rId21" Type="http://schemas.openxmlformats.org/officeDocument/2006/relationships/hyperlink" Target="https://login.consultant.ru/link/?req=doc&amp;base=LAW&amp;n=516721&amp;date=11.11.2025&amp;dst=100798&amp;field=134&amp;demo=2" TargetMode = "External"/><Relationship Id="rId22" Type="http://schemas.openxmlformats.org/officeDocument/2006/relationships/hyperlink" Target="https://login.consultant.ru/link/?req=doc&amp;base=LAW&amp;n=516721&amp;date=11.11.2025&amp;dst=100829&amp;field=134&amp;demo=2" TargetMode = "External"/><Relationship Id="rId23" Type="http://schemas.openxmlformats.org/officeDocument/2006/relationships/hyperlink" Target="https://login.consultant.ru/link/?req=doc&amp;base=LAW&amp;n=516721&amp;date=11.11.2025&amp;dst=100843&amp;field=134&amp;demo=2" TargetMode = "External"/><Relationship Id="rId24" Type="http://schemas.openxmlformats.org/officeDocument/2006/relationships/hyperlink" Target="https://login.consultant.ru/link/?req=doc&amp;base=LAW&amp;n=516721&amp;date=11.11.2025&amp;dst=101020&amp;field=134&amp;demo=2" TargetMode = "External"/><Relationship Id="rId25" Type="http://schemas.openxmlformats.org/officeDocument/2006/relationships/hyperlink" Target="https://login.consultant.ru/link/?req=doc&amp;base=LAW&amp;n=516721&amp;date=11.11.2025&amp;dst=100847&amp;field=134&amp;demo=2" TargetMode = "External"/><Relationship Id="rId26" Type="http://schemas.openxmlformats.org/officeDocument/2006/relationships/hyperlink" Target="https://login.consultant.ru/link/?req=doc&amp;base=LAW&amp;n=454041&amp;date=11.11.2025&amp;demo=2" TargetMode = "External"/><Relationship Id="rId27" Type="http://schemas.openxmlformats.org/officeDocument/2006/relationships/hyperlink" Target="https://login.consultant.ru/link/?req=doc&amp;base=LAW&amp;n=465775&amp;date=11.11.2025&amp;demo=2" TargetMode = "External"/><Relationship Id="rId28" Type="http://schemas.openxmlformats.org/officeDocument/2006/relationships/hyperlink" Target="https://login.consultant.ru/link/?req=doc&amp;base=LAW&amp;n=509341&amp;date=11.11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МЧС России от 22.09.2025 N 845
"Об утверждении типовой дополнительной профессиональной программы повышения квалификации в области пожарной безопасности по виду профессиональной деятельности "Добровольный пожарный"
(Зарегистрировано в Минюсте России 05.11.2025 N 84080)</dc:title>
  <dcterms:created xsi:type="dcterms:W3CDTF">2025-11-11T13:08:56Z</dcterms:created>
</cp:coreProperties>
</file>