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6"/>
              </w:rPr>
              <w:t xml:space="preserve">Приказ Росгвардии от 15.10.2025 N 365</w:t>
              <w:br/>
              <w:t xml:space="preserve">"Об установлении размеров окладов по нетиповым воинским должностям военнослужащих, проходящих военную службу по контракту в войсках национальной гвардии Российской Федерации, подлежащим замещению высшими офицерами, и размеров окладов по другим (нетиповым) должностям лиц, проходящих службу в войсках национальной гвардии Российской Федерации и имеющих специальные звания полиции, подлежащим замещению высшим начальствующим составом"</w:t>
              <w:br/>
              <w:t xml:space="preserve">(Зарегистрировано в Минюсте России 26.11.2025 N 84270)</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28.11.2025</w:t>
            </w:r>
            <w:r>
              <w:rPr>
                <w:sz w:val="28"/>
              </w:rPr>
              <w:br/>
              <w:t xml:space="preserve"> </w:t>
            </w:r>
          </w:p>
        </w:tc>
      </w:tr>
    </w:tbl>
    <w:p>
      <w:pPr>
        <w:sectPr>
          <w:pgSz w:w="11906" w:h="16838"/>
          <w:pgMar w:top="841" w:right="595" w:bottom="841" w:left="595" w:header="0" w:footer="0" w:gutter="0"/>
          <w:titlePg/>
        </w:sectPr>
      </w:pPr>
    </w:p>
    <w:p>
      <w:pPr>
        <w:pStyle w:val="0"/>
        <w:outlineLvl w:val="0"/>
      </w:pPr>
      <w:r>
        <w:rPr>
          <w:sz w:val="24"/>
        </w:rPr>
      </w:r>
    </w:p>
    <w:p>
      <w:pPr>
        <w:pStyle w:val="0"/>
        <w:outlineLvl w:val="0"/>
      </w:pPr>
      <w:r>
        <w:rPr>
          <w:sz w:val="24"/>
        </w:rPr>
        <w:t xml:space="preserve">Зарегистрировано в Минюсте России 26 ноября 2025 г. N 84270</w:t>
      </w:r>
    </w:p>
    <w:p>
      <w:pPr>
        <w:pStyle w:val="0"/>
        <w:jc w:val="both"/>
        <w:pBdr>
          <w:bottom w:val="single" w:sz="6" w:space="0" w:color="auto"/>
        </w:pBdr>
        <w:spacing w:before="100" w:after="100"/>
        <w:rPr>
          <w:sz w:val="2"/>
          <w:szCs w:val="2"/>
        </w:rPr>
      </w:pPr>
    </w:p>
    <w:p>
      <w:pPr>
        <w:pStyle w:val="0"/>
        <w:ind w:firstLine="540"/>
        <w:jc w:val="both"/>
      </w:pPr>
      <w:r>
        <w:rPr>
          <w:sz w:val="24"/>
        </w:rPr>
      </w:r>
    </w:p>
    <w:p>
      <w:pPr>
        <w:pStyle w:val="2"/>
        <w:jc w:val="center"/>
      </w:pPr>
      <w:r>
        <w:rPr>
          <w:sz w:val="24"/>
        </w:rPr>
        <w:t xml:space="preserve">ФЕДЕРАЛЬНАЯ СЛУЖБА ВОЙСК НАЦИОНАЛЬНОЙ ГВАРДИИ</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15 октября 2025 г. N 365</w:t>
      </w:r>
    </w:p>
    <w:p>
      <w:pPr>
        <w:pStyle w:val="2"/>
        <w:jc w:val="center"/>
      </w:pPr>
      <w:r>
        <w:rPr>
          <w:sz w:val="24"/>
        </w:rPr>
      </w:r>
    </w:p>
    <w:p>
      <w:pPr>
        <w:pStyle w:val="2"/>
        <w:jc w:val="center"/>
      </w:pPr>
      <w:r>
        <w:rPr>
          <w:sz w:val="24"/>
        </w:rPr>
        <w:t xml:space="preserve">ОБ УСТАНОВЛЕНИИ</w:t>
      </w:r>
    </w:p>
    <w:p>
      <w:pPr>
        <w:pStyle w:val="2"/>
        <w:jc w:val="center"/>
      </w:pPr>
      <w:r>
        <w:rPr>
          <w:sz w:val="24"/>
        </w:rPr>
        <w:t xml:space="preserve">РАЗМЕРОВ ОКЛАДОВ ПО НЕТИПОВЫМ ВОИНСКИМ ДОЛЖНОСТЯМ</w:t>
      </w:r>
    </w:p>
    <w:p>
      <w:pPr>
        <w:pStyle w:val="2"/>
        <w:jc w:val="center"/>
      </w:pPr>
      <w:r>
        <w:rPr>
          <w:sz w:val="24"/>
        </w:rPr>
        <w:t xml:space="preserve">ВОЕННОСЛУЖАЩИХ, ПРОХОДЯЩИХ ВОЕННУЮ СЛУЖБУ ПО КОНТРАКТУ</w:t>
      </w:r>
    </w:p>
    <w:p>
      <w:pPr>
        <w:pStyle w:val="2"/>
        <w:jc w:val="center"/>
      </w:pPr>
      <w:r>
        <w:rPr>
          <w:sz w:val="24"/>
        </w:rPr>
        <w:t xml:space="preserve">В ВОЙСКАХ НАЦИОНАЛЬНОЙ ГВАРДИИ РОССИЙСКОЙ ФЕДЕРАЦИИ,</w:t>
      </w:r>
    </w:p>
    <w:p>
      <w:pPr>
        <w:pStyle w:val="2"/>
        <w:jc w:val="center"/>
      </w:pPr>
      <w:r>
        <w:rPr>
          <w:sz w:val="24"/>
        </w:rPr>
        <w:t xml:space="preserve">ПОДЛЕЖАЩИМ ЗАМЕЩЕНИЮ ВЫСШИМИ ОФИЦЕРАМИ, И РАЗМЕРОВ ОКЛАДОВ</w:t>
      </w:r>
    </w:p>
    <w:p>
      <w:pPr>
        <w:pStyle w:val="2"/>
        <w:jc w:val="center"/>
      </w:pPr>
      <w:r>
        <w:rPr>
          <w:sz w:val="24"/>
        </w:rPr>
        <w:t xml:space="preserve">ПО ДРУГИМ (НЕТИПОВЫМ) ДОЛЖНОСТЯМ ЛИЦ, ПРОХОДЯЩИХ СЛУЖБУ</w:t>
      </w:r>
    </w:p>
    <w:p>
      <w:pPr>
        <w:pStyle w:val="2"/>
        <w:jc w:val="center"/>
      </w:pPr>
      <w:r>
        <w:rPr>
          <w:sz w:val="24"/>
        </w:rPr>
        <w:t xml:space="preserve">В ВОЙСКАХ НАЦИОНАЛЬНОЙ ГВАРДИИ РОССИЙСКОЙ ФЕДЕРАЦИИ</w:t>
      </w:r>
    </w:p>
    <w:p>
      <w:pPr>
        <w:pStyle w:val="2"/>
        <w:jc w:val="center"/>
      </w:pPr>
      <w:r>
        <w:rPr>
          <w:sz w:val="24"/>
        </w:rPr>
        <w:t xml:space="preserve">И ИМЕЮЩИХ СПЕЦИАЛЬНЫЕ ЗВАНИЯ ПОЛИЦИИ, ПОДЛЕЖАЩИМ</w:t>
      </w:r>
    </w:p>
    <w:p>
      <w:pPr>
        <w:pStyle w:val="2"/>
        <w:jc w:val="center"/>
      </w:pPr>
      <w:r>
        <w:rPr>
          <w:sz w:val="24"/>
        </w:rPr>
        <w:t xml:space="preserve">ЗАМЕЩЕНИЮ ВЫСШИМ НАЧАЛЬСТВУЮЩИМ СОСТАВОМ</w:t>
      </w:r>
    </w:p>
    <w:p>
      <w:pPr>
        <w:pStyle w:val="0"/>
        <w:jc w:val="center"/>
      </w:pPr>
      <w:r>
        <w:rPr>
          <w:sz w:val="24"/>
        </w:rPr>
      </w:r>
    </w:p>
    <w:p>
      <w:pPr>
        <w:pStyle w:val="0"/>
        <w:ind w:firstLine="540"/>
        <w:jc w:val="both"/>
      </w:pPr>
      <w:r>
        <w:rPr>
          <w:sz w:val="24"/>
        </w:rPr>
        <w:t xml:space="preserve">В соответствии с </w:t>
      </w:r>
      <w:hyperlink w:history="0" r:id="rId8" w:tooltip="Федеральный закон от 07.11.2011 N 306-ФЗ (ред. от 31.07.2025) &quot;О денежном довольствии военнослужащих и предоставлении им отдельных выплат&quot; {КонсультантПлюс}">
        <w:r>
          <w:rPr>
            <w:sz w:val="24"/>
            <w:color w:val="0000ff"/>
          </w:rPr>
          <w:t xml:space="preserve">частью 7 статьи 2</w:t>
        </w:r>
      </w:hyperlink>
      <w:r>
        <w:rPr>
          <w:sz w:val="24"/>
        </w:rPr>
        <w:t xml:space="preserve"> Федерального закона от 7 ноября 2011 г. N 306-ФЗ "О денежном довольствии военнослужащих и предоставлении им отдельных выплат", </w:t>
      </w:r>
      <w:hyperlink w:history="0" r:id="rId9"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частью 4 статьи 2</w:t>
        </w:r>
      </w:hyperlink>
      <w:r>
        <w:rPr>
          <w:sz w:val="24"/>
        </w:rPr>
        <w:t xml:space="preserve"> Федерального закона от 19 июля 2011 г. N 247-ФЗ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w:t>
      </w:r>
      <w:hyperlink w:history="0" r:id="rId10" w:tooltip="Федеральный закон от 03.07.2016 N 226-ФЗ (ред. от 31.07.2025) &quot;О войсках национальной гвардии Российской Федерации&quot; {КонсультантПлюс}">
        <w:r>
          <w:rPr>
            <w:sz w:val="24"/>
            <w:color w:val="0000ff"/>
          </w:rPr>
          <w:t xml:space="preserve">частью 1 статьи 24</w:t>
        </w:r>
      </w:hyperlink>
      <w:r>
        <w:rPr>
          <w:sz w:val="24"/>
        </w:rPr>
        <w:t xml:space="preserve"> Федерального закона от 3 июля 2016 г. N 226-ФЗ "О войсках национальной гвардии Российской Федерации" и </w:t>
      </w:r>
      <w:hyperlink w:history="0" r:id="rId1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3.2025) {КонсультантПлюс}">
        <w:r>
          <w:rPr>
            <w:sz w:val="24"/>
            <w:color w:val="0000ff"/>
          </w:rPr>
          <w:t xml:space="preserve">частями 1</w:t>
        </w:r>
      </w:hyperlink>
      <w:r>
        <w:rPr>
          <w:sz w:val="24"/>
        </w:rPr>
        <w:t xml:space="preserve"> и </w:t>
      </w:r>
      <w:hyperlink w:history="0" r:id="rId1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с изм. и доп., вступ. в силу с 01.03.2025) {КонсультантПлюс}">
        <w:r>
          <w:rPr>
            <w:sz w:val="24"/>
            <w:color w:val="0000ff"/>
          </w:rPr>
          <w:t xml:space="preserve">2 статьи 44</w:t>
        </w:r>
      </w:hyperlink>
      <w:r>
        <w:rPr>
          <w:sz w:val="24"/>
        </w:rPr>
        <w:t xml:space="preserve"> Федерального закона от 3 июля 2016 г. N 227-ФЗ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войсках национальной гвардии Российской Федерации" - приказываю:</w:t>
      </w:r>
    </w:p>
    <w:p>
      <w:pPr>
        <w:pStyle w:val="0"/>
        <w:spacing w:before="240" w:lineRule="auto"/>
        <w:ind w:firstLine="540"/>
        <w:jc w:val="both"/>
      </w:pPr>
      <w:r>
        <w:rPr>
          <w:sz w:val="24"/>
        </w:rPr>
        <w:t xml:space="preserve">1. Установить:</w:t>
      </w:r>
    </w:p>
    <w:p>
      <w:pPr>
        <w:pStyle w:val="0"/>
        <w:spacing w:before="240" w:lineRule="auto"/>
        <w:ind w:firstLine="540"/>
        <w:jc w:val="both"/>
      </w:pPr>
      <w:r>
        <w:rPr>
          <w:sz w:val="24"/>
        </w:rPr>
        <w:t xml:space="preserve">размеры окладов по нетиповым воинским должностям военнослужащих, проходящих военную службу по контракту в войсках национальной гвардии Российской Федерации, подлежащим замещению высшими офицерами </w:t>
      </w:r>
      <w:hyperlink w:history="0" w:anchor="P47" w:tooltip="РАЗМЕРЫ">
        <w:r>
          <w:rPr>
            <w:sz w:val="24"/>
            <w:color w:val="0000ff"/>
          </w:rPr>
          <w:t xml:space="preserve">(приложение N 1)</w:t>
        </w:r>
      </w:hyperlink>
      <w:r>
        <w:rPr>
          <w:sz w:val="24"/>
        </w:rPr>
        <w:t xml:space="preserve">;</w:t>
      </w:r>
    </w:p>
    <w:p>
      <w:pPr>
        <w:pStyle w:val="0"/>
        <w:spacing w:before="240" w:lineRule="auto"/>
        <w:ind w:firstLine="540"/>
        <w:jc w:val="both"/>
      </w:pPr>
      <w:r>
        <w:rPr>
          <w:sz w:val="24"/>
        </w:rPr>
        <w:t xml:space="preserve">размеры окладов по другим (нетиповым) должностям лиц, проходящих службу в войсках национальной гвардии Российской Федерации и имеющих специальные звания полиции, подлежащим замещению высшим начальствующим составом </w:t>
      </w:r>
      <w:hyperlink w:history="0" w:anchor="P127" w:tooltip="РАЗМЕРЫ">
        <w:r>
          <w:rPr>
            <w:sz w:val="24"/>
            <w:color w:val="0000ff"/>
          </w:rPr>
          <w:t xml:space="preserve">(приложение N 2)</w:t>
        </w:r>
      </w:hyperlink>
      <w:r>
        <w:rPr>
          <w:sz w:val="24"/>
        </w:rPr>
        <w:t xml:space="preserve">.</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13" w:tooltip="Приказ Росгвардии от 28.09.2023 N 354 (ред. от 21.10.2024) &quot;Об установлении размеров окладов по нетиповым воинским должностям военнослужащих, проходящих военную службу по контракту в войсках национальной гвардии Российской Федерации, подлежащим замещению высшими офицерами, и размеров окладов по другим (нетиповым) должностям лиц, проходящих службу в войсках национальной гвардии Российской Федерации и имеющих специальные звания полиции, подлежащим замещению высшим начальствующим составом&quot; (Зарегистрировано в  {КонсультантПлюс}">
        <w:r>
          <w:rPr>
            <w:sz w:val="24"/>
            <w:color w:val="0000ff"/>
          </w:rPr>
          <w:t xml:space="preserve">приказ</w:t>
        </w:r>
      </w:hyperlink>
      <w:r>
        <w:rPr>
          <w:sz w:val="24"/>
        </w:rPr>
        <w:t xml:space="preserve"> Федеральной службы войск национальной гвардии Российской Федерации от 28 сентября 2023 г. N 354 "Об установлении размеров окладов по нетиповым воинским должностям военнослужащих, проходящих военную службу по контракту в войсках национальной гвардии Российской Федерации, подлежащим замещению высшими офицерами, и размеров окладов по другим (нетиповым) должностям лиц, проходящих службу в войсках национальной гвардии Российской Федерации и имеющих специальные звания полиции, подлежащим замещению высшим начальствующим составом" (зарегистрирован Минюстом России 3 ноября 2023 г., регистрационный N 75851);</w:t>
      </w:r>
    </w:p>
    <w:p>
      <w:pPr>
        <w:pStyle w:val="0"/>
        <w:spacing w:before="240" w:lineRule="auto"/>
        <w:ind w:firstLine="540"/>
        <w:jc w:val="both"/>
      </w:pPr>
      <w:hyperlink w:history="0" r:id="rId14" w:tooltip="Приказ Росгвардии от 21.10.2024 N 387 &quot;О внесении изменений в приложения N 1 и N 2 к приказу Федеральной службы войск национальной гвардии Российской Федерации от 28 сентября 2023 г. N 354&quot; (Зарегистрировано в Минюсте России 25.11.2024 N 80306) {КонсультантПлюс}">
        <w:r>
          <w:rPr>
            <w:sz w:val="24"/>
            <w:color w:val="0000ff"/>
          </w:rPr>
          <w:t xml:space="preserve">приказ</w:t>
        </w:r>
      </w:hyperlink>
      <w:r>
        <w:rPr>
          <w:sz w:val="24"/>
        </w:rPr>
        <w:t xml:space="preserve"> Федеральной службы войск национальной гвардии Российской Федерации от 21 октября 2024 г. N 387 "О внесении изменений в приложения N 1 и N 2 к приказу Федеральной службы войск национальной гвардии Российской Федерации от 28 сентября 2023 г. N 354" (зарегистрирован Минюстом России 25 ноября 2024 г., регистрационный N 80306).</w:t>
      </w:r>
    </w:p>
    <w:p>
      <w:pPr>
        <w:pStyle w:val="0"/>
        <w:ind w:firstLine="540"/>
        <w:jc w:val="both"/>
      </w:pPr>
      <w:r>
        <w:rPr>
          <w:sz w:val="24"/>
        </w:rPr>
      </w:r>
    </w:p>
    <w:p>
      <w:pPr>
        <w:pStyle w:val="0"/>
        <w:jc w:val="right"/>
      </w:pPr>
      <w:r>
        <w:rPr>
          <w:sz w:val="24"/>
        </w:rPr>
        <w:t xml:space="preserve">Директор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 -</w:t>
      </w:r>
    </w:p>
    <w:p>
      <w:pPr>
        <w:pStyle w:val="0"/>
        <w:jc w:val="right"/>
      </w:pPr>
      <w:r>
        <w:rPr>
          <w:sz w:val="24"/>
        </w:rPr>
        <w:t xml:space="preserve">главнокомандующий войсками</w:t>
      </w:r>
    </w:p>
    <w:p>
      <w:pPr>
        <w:pStyle w:val="0"/>
        <w:jc w:val="right"/>
      </w:pPr>
      <w:r>
        <w:rPr>
          <w:sz w:val="24"/>
        </w:rPr>
        <w:t xml:space="preserve">национальной гвардии</w:t>
      </w:r>
    </w:p>
    <w:p>
      <w:pPr>
        <w:pStyle w:val="0"/>
        <w:jc w:val="right"/>
      </w:pPr>
      <w:r>
        <w:rPr>
          <w:sz w:val="24"/>
        </w:rPr>
        <w:t xml:space="preserve">Российской Федерации</w:t>
      </w:r>
    </w:p>
    <w:p>
      <w:pPr>
        <w:pStyle w:val="0"/>
        <w:jc w:val="right"/>
      </w:pPr>
      <w:r>
        <w:rPr>
          <w:sz w:val="24"/>
        </w:rPr>
        <w:t xml:space="preserve">генерал армии</w:t>
      </w:r>
    </w:p>
    <w:p>
      <w:pPr>
        <w:pStyle w:val="0"/>
        <w:jc w:val="right"/>
      </w:pPr>
      <w:r>
        <w:rPr>
          <w:sz w:val="24"/>
        </w:rPr>
        <w:t xml:space="preserve">В.В.ЗОЛОТОВ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1</w:t>
      </w:r>
    </w:p>
    <w:p>
      <w:pPr>
        <w:pStyle w:val="0"/>
        <w:jc w:val="right"/>
      </w:pPr>
      <w:r>
        <w:rPr>
          <w:sz w:val="24"/>
        </w:rPr>
        <w:t xml:space="preserve">к приказу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15 октября 2025 г. N 365</w:t>
      </w:r>
    </w:p>
    <w:p>
      <w:pPr>
        <w:pStyle w:val="0"/>
        <w:ind w:firstLine="540"/>
        <w:jc w:val="both"/>
      </w:pPr>
      <w:r>
        <w:rPr>
          <w:sz w:val="24"/>
        </w:rPr>
      </w:r>
    </w:p>
    <w:bookmarkStart w:id="47" w:name="P47"/>
    <w:bookmarkEnd w:id="47"/>
    <w:p>
      <w:pPr>
        <w:pStyle w:val="2"/>
        <w:jc w:val="center"/>
      </w:pPr>
      <w:r>
        <w:rPr>
          <w:sz w:val="24"/>
        </w:rPr>
        <w:t xml:space="preserve">РАЗМЕРЫ</w:t>
      </w:r>
    </w:p>
    <w:p>
      <w:pPr>
        <w:pStyle w:val="2"/>
        <w:jc w:val="center"/>
      </w:pPr>
      <w:r>
        <w:rPr>
          <w:sz w:val="24"/>
        </w:rPr>
        <w:t xml:space="preserve">ОКЛАДОВ ПО НЕТИПОВЫМ ВОИНСКИМ ДОЛЖНОСТЯМ ВОЕННОСЛУЖАЩИХ,</w:t>
      </w:r>
    </w:p>
    <w:p>
      <w:pPr>
        <w:pStyle w:val="2"/>
        <w:jc w:val="center"/>
      </w:pPr>
      <w:r>
        <w:rPr>
          <w:sz w:val="24"/>
        </w:rPr>
        <w:t xml:space="preserve">ПРОХОДЯЩИХ ВОЕННУЮ СЛУЖБУ ПО КОНТРАКТУ В ВОЙСКАХ</w:t>
      </w:r>
    </w:p>
    <w:p>
      <w:pPr>
        <w:pStyle w:val="2"/>
        <w:jc w:val="center"/>
      </w:pPr>
      <w:r>
        <w:rPr>
          <w:sz w:val="24"/>
        </w:rPr>
        <w:t xml:space="preserve">НАЦИОНАЛЬНОЙ ГВАРДИИ РОССИЙСКОЙ ФЕДЕРАЦИИ,</w:t>
      </w:r>
    </w:p>
    <w:p>
      <w:pPr>
        <w:pStyle w:val="2"/>
        <w:jc w:val="center"/>
      </w:pPr>
      <w:r>
        <w:rPr>
          <w:sz w:val="24"/>
        </w:rPr>
        <w:t xml:space="preserve">ПОДЛЕЖАЩИМ ЗАМЕЩЕНИЮ ВЫСШИМИ ОФИЦЕРАМИ</w:t>
      </w:r>
    </w:p>
    <w:p>
      <w:pPr>
        <w:pStyle w:val="0"/>
        <w:jc w:val="center"/>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65"/>
        <w:gridCol w:w="6030"/>
        <w:gridCol w:w="2270"/>
      </w:tblGrid>
      <w:tr>
        <w:tc>
          <w:tcPr>
            <w:tcW w:w="765" w:type="dxa"/>
          </w:tcPr>
          <w:p>
            <w:pPr>
              <w:pStyle w:val="0"/>
              <w:jc w:val="center"/>
            </w:pPr>
            <w:r>
              <w:rPr>
                <w:sz w:val="24"/>
              </w:rPr>
              <w:t xml:space="preserve">N п/п</w:t>
            </w:r>
          </w:p>
        </w:tc>
        <w:tc>
          <w:tcPr>
            <w:tcW w:w="6030" w:type="dxa"/>
          </w:tcPr>
          <w:p>
            <w:pPr>
              <w:pStyle w:val="0"/>
              <w:jc w:val="center"/>
            </w:pPr>
            <w:r>
              <w:rPr>
                <w:sz w:val="24"/>
              </w:rPr>
              <w:t xml:space="preserve">Наименование воинской должности</w:t>
            </w:r>
          </w:p>
        </w:tc>
        <w:tc>
          <w:tcPr>
            <w:tcW w:w="2270" w:type="dxa"/>
          </w:tcPr>
          <w:p>
            <w:pPr>
              <w:pStyle w:val="0"/>
              <w:jc w:val="center"/>
            </w:pPr>
            <w:r>
              <w:rPr>
                <w:sz w:val="24"/>
              </w:rPr>
              <w:t xml:space="preserve">Оклад по воинской должности (в рублях в месяц)</w:t>
            </w:r>
          </w:p>
        </w:tc>
      </w:tr>
      <w:tr>
        <w:tc>
          <w:tcPr>
            <w:tcW w:w="765" w:type="dxa"/>
          </w:tcPr>
          <w:p>
            <w:pPr>
              <w:pStyle w:val="0"/>
              <w:jc w:val="center"/>
            </w:pPr>
            <w:r>
              <w:rPr>
                <w:sz w:val="24"/>
              </w:rPr>
              <w:t xml:space="preserve">1.</w:t>
            </w:r>
          </w:p>
        </w:tc>
        <w:tc>
          <w:tcPr>
            <w:tcW w:w="6030" w:type="dxa"/>
          </w:tcPr>
          <w:p>
            <w:pPr>
              <w:pStyle w:val="0"/>
              <w:jc w:val="both"/>
            </w:pPr>
            <w:r>
              <w:rPr>
                <w:sz w:val="24"/>
              </w:rPr>
              <w:t xml:space="preserve">Начальник Главного штаба войск национальной гвардии Российской Федерации - первый заместитель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статс-секретарь - заместитель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заместитель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 начальник Главного управления собственной безопасности Федеральной службы войск национальной гвардии Российской Федерации</w:t>
            </w:r>
          </w:p>
        </w:tc>
        <w:tc>
          <w:tcPr>
            <w:tcW w:w="2270" w:type="dxa"/>
          </w:tcPr>
          <w:p>
            <w:pPr>
              <w:pStyle w:val="0"/>
              <w:jc w:val="center"/>
            </w:pPr>
            <w:r>
              <w:rPr>
                <w:sz w:val="24"/>
              </w:rPr>
              <w:t xml:space="preserve">64 473</w:t>
            </w:r>
          </w:p>
        </w:tc>
      </w:tr>
      <w:tr>
        <w:tc>
          <w:tcPr>
            <w:tcW w:w="765" w:type="dxa"/>
          </w:tcPr>
          <w:p>
            <w:pPr>
              <w:pStyle w:val="0"/>
              <w:jc w:val="center"/>
            </w:pPr>
            <w:r>
              <w:rPr>
                <w:sz w:val="24"/>
              </w:rPr>
              <w:t xml:space="preserve">2.</w:t>
            </w:r>
          </w:p>
        </w:tc>
        <w:tc>
          <w:tcPr>
            <w:tcW w:w="6030" w:type="dxa"/>
          </w:tcPr>
          <w:p>
            <w:pPr>
              <w:pStyle w:val="0"/>
              <w:jc w:val="both"/>
            </w:pPr>
            <w:r>
              <w:rPr>
                <w:sz w:val="24"/>
              </w:rPr>
              <w:t xml:space="preserve">Начальник Штаба материально-технического обеспечения Федеральной службы войск национальной гвардии Российской Федерации</w:t>
            </w:r>
          </w:p>
        </w:tc>
        <w:tc>
          <w:tcPr>
            <w:tcW w:w="2270" w:type="dxa"/>
          </w:tcPr>
          <w:p>
            <w:pPr>
              <w:pStyle w:val="0"/>
              <w:jc w:val="center"/>
            </w:pPr>
            <w:r>
              <w:rPr>
                <w:sz w:val="24"/>
              </w:rPr>
              <w:t xml:space="preserve">60 176</w:t>
            </w:r>
          </w:p>
        </w:tc>
      </w:tr>
      <w:tr>
        <w:tc>
          <w:tcPr>
            <w:tcW w:w="765" w:type="dxa"/>
          </w:tcPr>
          <w:p>
            <w:pPr>
              <w:pStyle w:val="0"/>
              <w:jc w:val="center"/>
            </w:pPr>
            <w:r>
              <w:rPr>
                <w:sz w:val="24"/>
              </w:rPr>
              <w:t xml:space="preserve">3.</w:t>
            </w:r>
          </w:p>
        </w:tc>
        <w:tc>
          <w:tcPr>
            <w:tcW w:w="6030" w:type="dxa"/>
          </w:tcPr>
          <w:p>
            <w:pPr>
              <w:pStyle w:val="0"/>
              <w:jc w:val="both"/>
            </w:pPr>
            <w:r>
              <w:rPr>
                <w:sz w:val="24"/>
              </w:rPr>
              <w:t xml:space="preserve">Заместитель начальника Главного штаба, начальник главного управления Главного штаба, начальник Инспекции Федеральной службы войск национальной гвардии Российской Федерации - главный инспектор-координатор, начальник авиации, руководитель аппарата директора</w:t>
            </w:r>
          </w:p>
        </w:tc>
        <w:tc>
          <w:tcPr>
            <w:tcW w:w="2270" w:type="dxa"/>
          </w:tcPr>
          <w:p>
            <w:pPr>
              <w:pStyle w:val="0"/>
              <w:jc w:val="center"/>
            </w:pPr>
            <w:r>
              <w:rPr>
                <w:sz w:val="24"/>
              </w:rPr>
              <w:t xml:space="preserve">57 308</w:t>
            </w:r>
          </w:p>
        </w:tc>
      </w:tr>
      <w:tr>
        <w:tc>
          <w:tcPr>
            <w:tcW w:w="765" w:type="dxa"/>
          </w:tcPr>
          <w:p>
            <w:pPr>
              <w:pStyle w:val="0"/>
              <w:jc w:val="center"/>
            </w:pPr>
            <w:r>
              <w:rPr>
                <w:sz w:val="24"/>
              </w:rPr>
              <w:t xml:space="preserve">4.</w:t>
            </w:r>
          </w:p>
        </w:tc>
        <w:tc>
          <w:tcPr>
            <w:tcW w:w="6030" w:type="dxa"/>
          </w:tcPr>
          <w:p>
            <w:pPr>
              <w:pStyle w:val="0"/>
              <w:jc w:val="both"/>
            </w:pPr>
            <w:r>
              <w:rPr>
                <w:sz w:val="24"/>
              </w:rPr>
              <w:t xml:space="preserve">Первый заместитель начальника главного управления Главного штаба, первый заместитель начальника главного управления, командующий округом</w:t>
            </w:r>
          </w:p>
        </w:tc>
        <w:tc>
          <w:tcPr>
            <w:tcW w:w="2270" w:type="dxa"/>
          </w:tcPr>
          <w:p>
            <w:pPr>
              <w:pStyle w:val="0"/>
              <w:jc w:val="center"/>
            </w:pPr>
            <w:r>
              <w:rPr>
                <w:sz w:val="24"/>
              </w:rPr>
              <w:t xml:space="preserve">53 727</w:t>
            </w:r>
          </w:p>
        </w:tc>
      </w:tr>
      <w:tr>
        <w:tc>
          <w:tcPr>
            <w:tcW w:w="765" w:type="dxa"/>
          </w:tcPr>
          <w:p>
            <w:pPr>
              <w:pStyle w:val="0"/>
              <w:jc w:val="center"/>
            </w:pPr>
            <w:r>
              <w:rPr>
                <w:sz w:val="24"/>
              </w:rPr>
              <w:t xml:space="preserve">5.</w:t>
            </w:r>
          </w:p>
        </w:tc>
        <w:tc>
          <w:tcPr>
            <w:tcW w:w="6030" w:type="dxa"/>
          </w:tcPr>
          <w:p>
            <w:pPr>
              <w:pStyle w:val="0"/>
              <w:jc w:val="both"/>
            </w:pPr>
            <w:r>
              <w:rPr>
                <w:sz w:val="24"/>
              </w:rPr>
              <w:t xml:space="preserve">Помощник директора, заместитель начальника главного управления Главного штаба, заместитель начальника Штаба материально-технического обеспечения Федеральной службы войск национальной гвардии Российской Федерации - начальник управления планирования материально-технического обеспечения, заместитель начальника Штаба материально-технического обеспечения Федеральной службы войск национальной гвардии Российской Федерации - начальник управления государственной программы вооружения и государственного оборонного заказа, начальник Военной академии</w:t>
            </w:r>
          </w:p>
        </w:tc>
        <w:tc>
          <w:tcPr>
            <w:tcW w:w="2270" w:type="dxa"/>
          </w:tcPr>
          <w:p>
            <w:pPr>
              <w:pStyle w:val="0"/>
              <w:jc w:val="center"/>
            </w:pPr>
            <w:r>
              <w:rPr>
                <w:sz w:val="24"/>
              </w:rPr>
              <w:t xml:space="preserve">53 012</w:t>
            </w:r>
          </w:p>
        </w:tc>
      </w:tr>
      <w:tr>
        <w:tc>
          <w:tcPr>
            <w:tcW w:w="765" w:type="dxa"/>
          </w:tcPr>
          <w:p>
            <w:pPr>
              <w:pStyle w:val="0"/>
              <w:jc w:val="center"/>
            </w:pPr>
            <w:r>
              <w:rPr>
                <w:sz w:val="24"/>
              </w:rPr>
              <w:t xml:space="preserve">6.</w:t>
            </w:r>
          </w:p>
        </w:tc>
        <w:tc>
          <w:tcPr>
            <w:tcW w:w="6030" w:type="dxa"/>
          </w:tcPr>
          <w:p>
            <w:pPr>
              <w:pStyle w:val="0"/>
              <w:jc w:val="both"/>
            </w:pPr>
            <w:r>
              <w:rPr>
                <w:sz w:val="24"/>
              </w:rPr>
              <w:t xml:space="preserve">Начальник управления Главного штаба, начальник управления</w:t>
            </w:r>
          </w:p>
        </w:tc>
        <w:tc>
          <w:tcPr>
            <w:tcW w:w="2270" w:type="dxa"/>
          </w:tcPr>
          <w:p>
            <w:pPr>
              <w:pStyle w:val="0"/>
              <w:jc w:val="center"/>
            </w:pPr>
            <w:r>
              <w:rPr>
                <w:sz w:val="24"/>
              </w:rPr>
              <w:t xml:space="preserve">52 295</w:t>
            </w:r>
          </w:p>
        </w:tc>
      </w:tr>
      <w:tr>
        <w:tc>
          <w:tcPr>
            <w:tcW w:w="765" w:type="dxa"/>
          </w:tcPr>
          <w:p>
            <w:pPr>
              <w:pStyle w:val="0"/>
              <w:jc w:val="center"/>
            </w:pPr>
            <w:r>
              <w:rPr>
                <w:sz w:val="24"/>
              </w:rPr>
              <w:t xml:space="preserve">7.</w:t>
            </w:r>
          </w:p>
        </w:tc>
        <w:tc>
          <w:tcPr>
            <w:tcW w:w="6030" w:type="dxa"/>
          </w:tcPr>
          <w:p>
            <w:pPr>
              <w:pStyle w:val="0"/>
              <w:jc w:val="both"/>
            </w:pPr>
            <w:r>
              <w:rPr>
                <w:sz w:val="24"/>
              </w:rPr>
              <w:t xml:space="preserve">Начальник управления направлений Главного оперативного управления Главного штаба, начальник Центра управления артиллерией Федеральной службы войск национальной гвардии Российской Федерации - начальник артиллерии, главный инспектор Федеральной службы войск национальной гвардии Российской Федерации, первый заместитель командующего округом, начальник штаба округа, командующий Объединенной группировкой</w:t>
            </w:r>
          </w:p>
        </w:tc>
        <w:tc>
          <w:tcPr>
            <w:tcW w:w="2270" w:type="dxa"/>
          </w:tcPr>
          <w:p>
            <w:pPr>
              <w:pStyle w:val="0"/>
              <w:jc w:val="center"/>
            </w:pPr>
            <w:r>
              <w:rPr>
                <w:sz w:val="24"/>
              </w:rPr>
              <w:t xml:space="preserve">51 579</w:t>
            </w:r>
          </w:p>
        </w:tc>
      </w:tr>
      <w:tr>
        <w:tc>
          <w:tcPr>
            <w:tcW w:w="765" w:type="dxa"/>
          </w:tcPr>
          <w:p>
            <w:pPr>
              <w:pStyle w:val="0"/>
              <w:jc w:val="center"/>
            </w:pPr>
            <w:r>
              <w:rPr>
                <w:sz w:val="24"/>
              </w:rPr>
              <w:t xml:space="preserve">8.</w:t>
            </w:r>
          </w:p>
        </w:tc>
        <w:tc>
          <w:tcPr>
            <w:tcW w:w="6030" w:type="dxa"/>
          </w:tcPr>
          <w:p>
            <w:pPr>
              <w:pStyle w:val="0"/>
              <w:jc w:val="both"/>
            </w:pPr>
            <w:r>
              <w:rPr>
                <w:sz w:val="24"/>
              </w:rPr>
              <w:t xml:space="preserve">Заместитель командующего округом (всех наименований), первый заместитель командующего Объединенной группировкой, начальник штаба Объединенной группировки</w:t>
            </w:r>
          </w:p>
        </w:tc>
        <w:tc>
          <w:tcPr>
            <w:tcW w:w="2270" w:type="dxa"/>
          </w:tcPr>
          <w:p>
            <w:pPr>
              <w:pStyle w:val="0"/>
              <w:jc w:val="center"/>
            </w:pPr>
            <w:r>
              <w:rPr>
                <w:sz w:val="24"/>
              </w:rPr>
              <w:t xml:space="preserve">50 863</w:t>
            </w:r>
          </w:p>
        </w:tc>
      </w:tr>
      <w:tr>
        <w:tc>
          <w:tcPr>
            <w:tcW w:w="765" w:type="dxa"/>
          </w:tcPr>
          <w:p>
            <w:pPr>
              <w:pStyle w:val="0"/>
              <w:jc w:val="center"/>
            </w:pPr>
            <w:r>
              <w:rPr>
                <w:sz w:val="24"/>
              </w:rPr>
              <w:t xml:space="preserve">9.</w:t>
            </w:r>
          </w:p>
        </w:tc>
        <w:tc>
          <w:tcPr>
            <w:tcW w:w="6030" w:type="dxa"/>
          </w:tcPr>
          <w:p>
            <w:pPr>
              <w:pStyle w:val="0"/>
              <w:jc w:val="both"/>
            </w:pPr>
            <w:r>
              <w:rPr>
                <w:sz w:val="24"/>
              </w:rPr>
              <w:t xml:space="preserve">Заместитель командующего Объединенной группировкой</w:t>
            </w:r>
          </w:p>
        </w:tc>
        <w:tc>
          <w:tcPr>
            <w:tcW w:w="2270" w:type="dxa"/>
          </w:tcPr>
          <w:p>
            <w:pPr>
              <w:pStyle w:val="0"/>
              <w:jc w:val="center"/>
            </w:pPr>
            <w:r>
              <w:rPr>
                <w:sz w:val="24"/>
              </w:rPr>
              <w:t xml:space="preserve">50 146</w:t>
            </w:r>
          </w:p>
        </w:tc>
      </w:tr>
      <w:tr>
        <w:tc>
          <w:tcPr>
            <w:tcW w:w="765" w:type="dxa"/>
          </w:tcPr>
          <w:p>
            <w:pPr>
              <w:pStyle w:val="0"/>
              <w:jc w:val="center"/>
            </w:pPr>
            <w:r>
              <w:rPr>
                <w:sz w:val="24"/>
              </w:rPr>
              <w:t xml:space="preserve">10.</w:t>
            </w:r>
          </w:p>
        </w:tc>
        <w:tc>
          <w:tcPr>
            <w:tcW w:w="6030" w:type="dxa"/>
          </w:tcPr>
          <w:p>
            <w:pPr>
              <w:pStyle w:val="0"/>
              <w:jc w:val="both"/>
            </w:pPr>
            <w:r>
              <w:rPr>
                <w:sz w:val="24"/>
              </w:rPr>
              <w:t xml:space="preserve">Заместитель начальника управления</w:t>
            </w:r>
          </w:p>
        </w:tc>
        <w:tc>
          <w:tcPr>
            <w:tcW w:w="2270" w:type="dxa"/>
          </w:tcPr>
          <w:p>
            <w:pPr>
              <w:pStyle w:val="0"/>
              <w:jc w:val="center"/>
            </w:pPr>
            <w:r>
              <w:rPr>
                <w:sz w:val="24"/>
              </w:rPr>
              <w:t xml:space="preserve">49 430</w:t>
            </w:r>
          </w:p>
        </w:tc>
      </w:tr>
      <w:tr>
        <w:tc>
          <w:tcPr>
            <w:tcW w:w="765" w:type="dxa"/>
          </w:tcPr>
          <w:p>
            <w:pPr>
              <w:pStyle w:val="0"/>
              <w:jc w:val="center"/>
            </w:pPr>
            <w:r>
              <w:rPr>
                <w:sz w:val="24"/>
              </w:rPr>
              <w:t xml:space="preserve">11.</w:t>
            </w:r>
          </w:p>
        </w:tc>
        <w:tc>
          <w:tcPr>
            <w:tcW w:w="6030" w:type="dxa"/>
          </w:tcPr>
          <w:p>
            <w:pPr>
              <w:pStyle w:val="0"/>
              <w:jc w:val="both"/>
            </w:pPr>
            <w:r>
              <w:rPr>
                <w:sz w:val="24"/>
              </w:rPr>
              <w:t xml:space="preserve">Начальник Главного центра Федеральной службы войск национальной гвардии Российской Федерации обеспечения безопасности высших должностных лиц</w:t>
            </w:r>
          </w:p>
        </w:tc>
        <w:tc>
          <w:tcPr>
            <w:tcW w:w="2270" w:type="dxa"/>
          </w:tcPr>
          <w:p>
            <w:pPr>
              <w:pStyle w:val="0"/>
              <w:jc w:val="center"/>
            </w:pPr>
            <w:r>
              <w:rPr>
                <w:sz w:val="24"/>
              </w:rPr>
              <w:t xml:space="preserve">48 713</w:t>
            </w:r>
          </w:p>
        </w:tc>
      </w:tr>
      <w:tr>
        <w:tc>
          <w:tcPr>
            <w:tcW w:w="765" w:type="dxa"/>
          </w:tcPr>
          <w:p>
            <w:pPr>
              <w:pStyle w:val="0"/>
              <w:jc w:val="center"/>
            </w:pPr>
            <w:r>
              <w:rPr>
                <w:sz w:val="24"/>
              </w:rPr>
              <w:t xml:space="preserve">12.</w:t>
            </w:r>
          </w:p>
        </w:tc>
        <w:tc>
          <w:tcPr>
            <w:tcW w:w="6030" w:type="dxa"/>
          </w:tcPr>
          <w:p>
            <w:pPr>
              <w:pStyle w:val="0"/>
              <w:jc w:val="both"/>
            </w:pPr>
            <w:r>
              <w:rPr>
                <w:sz w:val="24"/>
              </w:rPr>
              <w:t xml:space="preserve">Начальник Отдельного разведывательного центра, начальник главного управления по субъекту (субъектам) Российской Федерации, начальник управления по субъекту Российской Федерации с численностью населения более 2,5 млн человек, начальник Управления Федеральной службы войск национальной гвардии Российской Федерации по Чеченской Республике, первый заместитель начальника Военной академии, заместитель начальника Военной академии по учебной работе, начальник военного института</w:t>
            </w:r>
          </w:p>
        </w:tc>
        <w:tc>
          <w:tcPr>
            <w:tcW w:w="2270" w:type="dxa"/>
          </w:tcPr>
          <w:p>
            <w:pPr>
              <w:pStyle w:val="0"/>
              <w:jc w:val="center"/>
            </w:pPr>
            <w:r>
              <w:rPr>
                <w:sz w:val="24"/>
              </w:rPr>
              <w:t xml:space="preserve">47 281</w:t>
            </w:r>
          </w:p>
        </w:tc>
      </w:tr>
      <w:tr>
        <w:tc>
          <w:tcPr>
            <w:tcW w:w="765" w:type="dxa"/>
          </w:tcPr>
          <w:p>
            <w:pPr>
              <w:pStyle w:val="0"/>
              <w:jc w:val="center"/>
            </w:pPr>
            <w:r>
              <w:rPr>
                <w:sz w:val="24"/>
              </w:rPr>
              <w:t xml:space="preserve">13.</w:t>
            </w:r>
          </w:p>
        </w:tc>
        <w:tc>
          <w:tcPr>
            <w:tcW w:w="6030" w:type="dxa"/>
          </w:tcPr>
          <w:p>
            <w:pPr>
              <w:pStyle w:val="0"/>
              <w:jc w:val="both"/>
            </w:pPr>
            <w:r>
              <w:rPr>
                <w:sz w:val="24"/>
              </w:rPr>
              <w:t xml:space="preserve">Начальник Главного военного клинического госпиталя</w:t>
            </w:r>
          </w:p>
        </w:tc>
        <w:tc>
          <w:tcPr>
            <w:tcW w:w="2270" w:type="dxa"/>
          </w:tcPr>
          <w:p>
            <w:pPr>
              <w:pStyle w:val="0"/>
              <w:jc w:val="center"/>
            </w:pPr>
            <w:r>
              <w:rPr>
                <w:sz w:val="24"/>
              </w:rPr>
              <w:t xml:space="preserve">46 565</w:t>
            </w:r>
          </w:p>
        </w:tc>
      </w:tr>
      <w:tr>
        <w:tc>
          <w:tcPr>
            <w:tcW w:w="765" w:type="dxa"/>
          </w:tcPr>
          <w:p>
            <w:pPr>
              <w:pStyle w:val="0"/>
              <w:jc w:val="center"/>
            </w:pPr>
            <w:r>
              <w:rPr>
                <w:sz w:val="24"/>
              </w:rPr>
              <w:t xml:space="preserve">14.</w:t>
            </w:r>
          </w:p>
        </w:tc>
        <w:tc>
          <w:tcPr>
            <w:tcW w:w="6030" w:type="dxa"/>
          </w:tcPr>
          <w:p>
            <w:pPr>
              <w:pStyle w:val="0"/>
              <w:jc w:val="both"/>
            </w:pPr>
            <w:r>
              <w:rPr>
                <w:sz w:val="24"/>
              </w:rPr>
              <w:t xml:space="preserve">Начальник штаба - заместитель начальника Главного центра Федеральной службы войск национальной гвардии Российской Федерации обеспечения безопасности высших должностных лиц, заместитель начальника Главного центра Федеральной службы войск национальной гвардии Российской Федерации обеспечения безопасности высших должностных лиц по организации охраны</w:t>
            </w:r>
          </w:p>
        </w:tc>
        <w:tc>
          <w:tcPr>
            <w:tcW w:w="2270" w:type="dxa"/>
          </w:tcPr>
          <w:p>
            <w:pPr>
              <w:pStyle w:val="0"/>
              <w:jc w:val="center"/>
            </w:pPr>
            <w:r>
              <w:rPr>
                <w:sz w:val="24"/>
              </w:rPr>
              <w:t xml:space="preserve">45 849</w:t>
            </w:r>
          </w:p>
        </w:tc>
      </w:tr>
      <w:tr>
        <w:tc>
          <w:tcPr>
            <w:tcW w:w="765" w:type="dxa"/>
          </w:tcPr>
          <w:p>
            <w:pPr>
              <w:pStyle w:val="0"/>
              <w:jc w:val="center"/>
            </w:pPr>
            <w:r>
              <w:rPr>
                <w:sz w:val="24"/>
              </w:rPr>
              <w:t xml:space="preserve">15.</w:t>
            </w:r>
          </w:p>
        </w:tc>
        <w:tc>
          <w:tcPr>
            <w:tcW w:w="6030" w:type="dxa"/>
          </w:tcPr>
          <w:p>
            <w:pPr>
              <w:pStyle w:val="0"/>
              <w:jc w:val="both"/>
            </w:pPr>
            <w:r>
              <w:rPr>
                <w:sz w:val="24"/>
              </w:rPr>
              <w:t xml:space="preserve">Начальник Центральной войсковой комендатуры по обеспечению деятельности Федеральной службы войск национальной гвардии Российской Федерации</w:t>
            </w:r>
          </w:p>
        </w:tc>
        <w:tc>
          <w:tcPr>
            <w:tcW w:w="2270" w:type="dxa"/>
          </w:tcPr>
          <w:p>
            <w:pPr>
              <w:pStyle w:val="0"/>
              <w:jc w:val="center"/>
            </w:pPr>
            <w:r>
              <w:rPr>
                <w:sz w:val="24"/>
              </w:rPr>
              <w:t xml:space="preserve">45 132</w:t>
            </w:r>
          </w:p>
        </w:tc>
      </w:tr>
      <w:tr>
        <w:tc>
          <w:tcPr>
            <w:tcW w:w="765" w:type="dxa"/>
          </w:tcPr>
          <w:p>
            <w:pPr>
              <w:pStyle w:val="0"/>
              <w:jc w:val="center"/>
            </w:pPr>
            <w:r>
              <w:rPr>
                <w:sz w:val="24"/>
              </w:rPr>
              <w:t xml:space="preserve">16.</w:t>
            </w:r>
          </w:p>
        </w:tc>
        <w:tc>
          <w:tcPr>
            <w:tcW w:w="6030" w:type="dxa"/>
          </w:tcPr>
          <w:p>
            <w:pPr>
              <w:pStyle w:val="0"/>
              <w:jc w:val="both"/>
            </w:pPr>
            <w:r>
              <w:rPr>
                <w:sz w:val="24"/>
              </w:rPr>
              <w:t xml:space="preserve">Начальник управления по субъекту Российской Федерации с численностью населения менее 2,5 млн человек</w:t>
            </w:r>
          </w:p>
        </w:tc>
        <w:tc>
          <w:tcPr>
            <w:tcW w:w="2270" w:type="dxa"/>
          </w:tcPr>
          <w:p>
            <w:pPr>
              <w:pStyle w:val="0"/>
              <w:jc w:val="center"/>
            </w:pPr>
            <w:r>
              <w:rPr>
                <w:sz w:val="24"/>
              </w:rPr>
              <w:t xml:space="preserve">42 983</w:t>
            </w:r>
          </w:p>
        </w:tc>
      </w:tr>
      <w:tr>
        <w:tc>
          <w:tcPr>
            <w:tcW w:w="765" w:type="dxa"/>
          </w:tcPr>
          <w:p>
            <w:pPr>
              <w:pStyle w:val="0"/>
              <w:jc w:val="center"/>
            </w:pPr>
            <w:r>
              <w:rPr>
                <w:sz w:val="24"/>
              </w:rPr>
              <w:t xml:space="preserve">17.</w:t>
            </w:r>
          </w:p>
        </w:tc>
        <w:tc>
          <w:tcPr>
            <w:tcW w:w="6030" w:type="dxa"/>
          </w:tcPr>
          <w:p>
            <w:pPr>
              <w:pStyle w:val="0"/>
              <w:jc w:val="both"/>
            </w:pPr>
            <w:r>
              <w:rPr>
                <w:sz w:val="24"/>
              </w:rPr>
              <w:t xml:space="preserve">Командир отдельной бригады</w:t>
            </w:r>
          </w:p>
        </w:tc>
        <w:tc>
          <w:tcPr>
            <w:tcW w:w="2270" w:type="dxa"/>
          </w:tcPr>
          <w:p>
            <w:pPr>
              <w:pStyle w:val="0"/>
              <w:jc w:val="center"/>
            </w:pPr>
            <w:r>
              <w:rPr>
                <w:sz w:val="24"/>
              </w:rPr>
              <w:t xml:space="preserve">41 549</w:t>
            </w:r>
          </w:p>
        </w:tc>
      </w:tr>
      <w:tr>
        <w:tc>
          <w:tcPr>
            <w:tcW w:w="765" w:type="dxa"/>
          </w:tcPr>
          <w:p>
            <w:pPr>
              <w:pStyle w:val="0"/>
              <w:jc w:val="center"/>
            </w:pPr>
            <w:r>
              <w:rPr>
                <w:sz w:val="24"/>
              </w:rPr>
              <w:t xml:space="preserve">18.</w:t>
            </w:r>
          </w:p>
        </w:tc>
        <w:tc>
          <w:tcPr>
            <w:tcW w:w="6030" w:type="dxa"/>
          </w:tcPr>
          <w:p>
            <w:pPr>
              <w:pStyle w:val="0"/>
              <w:jc w:val="both"/>
            </w:pPr>
            <w:r>
              <w:rPr>
                <w:sz w:val="24"/>
              </w:rPr>
              <w:t xml:space="preserve">Начальник центра специального назначения</w:t>
            </w:r>
          </w:p>
        </w:tc>
        <w:tc>
          <w:tcPr>
            <w:tcW w:w="2270" w:type="dxa"/>
          </w:tcPr>
          <w:p>
            <w:pPr>
              <w:pStyle w:val="0"/>
              <w:jc w:val="center"/>
            </w:pPr>
            <w:r>
              <w:rPr>
                <w:sz w:val="24"/>
              </w:rPr>
              <w:t xml:space="preserve">40 835</w:t>
            </w:r>
          </w:p>
        </w:tc>
      </w:tr>
      <w:tr>
        <w:tc>
          <w:tcPr>
            <w:tcW w:w="765" w:type="dxa"/>
          </w:tcPr>
          <w:p>
            <w:pPr>
              <w:pStyle w:val="0"/>
              <w:jc w:val="center"/>
            </w:pPr>
            <w:r>
              <w:rPr>
                <w:sz w:val="24"/>
              </w:rPr>
              <w:t xml:space="preserve">19.</w:t>
            </w:r>
          </w:p>
        </w:tc>
        <w:tc>
          <w:tcPr>
            <w:tcW w:w="6030" w:type="dxa"/>
          </w:tcPr>
          <w:p>
            <w:pPr>
              <w:pStyle w:val="0"/>
              <w:jc w:val="both"/>
            </w:pPr>
            <w:r>
              <w:rPr>
                <w:sz w:val="24"/>
              </w:rPr>
              <w:t xml:space="preserve">Командир бригады, заместитель начальника главного управления по субъекту (субъектам) Российской Федерации</w:t>
            </w:r>
          </w:p>
        </w:tc>
        <w:tc>
          <w:tcPr>
            <w:tcW w:w="2270" w:type="dxa"/>
          </w:tcPr>
          <w:p>
            <w:pPr>
              <w:pStyle w:val="0"/>
              <w:jc w:val="center"/>
            </w:pPr>
            <w:r>
              <w:rPr>
                <w:sz w:val="24"/>
              </w:rPr>
              <w:t xml:space="preserve">40 118</w:t>
            </w:r>
          </w:p>
        </w:tc>
      </w:tr>
      <w:tr>
        <w:tc>
          <w:tcPr>
            <w:tcW w:w="765" w:type="dxa"/>
          </w:tcPr>
          <w:p>
            <w:pPr>
              <w:pStyle w:val="0"/>
              <w:jc w:val="center"/>
            </w:pPr>
            <w:r>
              <w:rPr>
                <w:sz w:val="24"/>
              </w:rPr>
              <w:t xml:space="preserve">20.</w:t>
            </w:r>
          </w:p>
        </w:tc>
        <w:tc>
          <w:tcPr>
            <w:tcW w:w="6030" w:type="dxa"/>
          </w:tcPr>
          <w:p>
            <w:pPr>
              <w:pStyle w:val="0"/>
              <w:jc w:val="both"/>
            </w:pPr>
            <w:r>
              <w:rPr>
                <w:sz w:val="24"/>
              </w:rPr>
              <w:t xml:space="preserve">Начальник штаба главного управления по субъекту (субъектам) Российской Федерации</w:t>
            </w:r>
          </w:p>
        </w:tc>
        <w:tc>
          <w:tcPr>
            <w:tcW w:w="2270" w:type="dxa"/>
          </w:tcPr>
          <w:p>
            <w:pPr>
              <w:pStyle w:val="0"/>
              <w:jc w:val="center"/>
            </w:pPr>
            <w:r>
              <w:rPr>
                <w:sz w:val="24"/>
              </w:rPr>
              <w:t xml:space="preserve">38 686</w:t>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15 октября 2025 г. N 365</w:t>
      </w:r>
    </w:p>
    <w:p>
      <w:pPr>
        <w:pStyle w:val="0"/>
        <w:ind w:firstLine="540"/>
        <w:jc w:val="both"/>
      </w:pPr>
      <w:r>
        <w:rPr>
          <w:sz w:val="24"/>
        </w:rPr>
      </w:r>
    </w:p>
    <w:bookmarkStart w:id="127" w:name="P127"/>
    <w:bookmarkEnd w:id="127"/>
    <w:p>
      <w:pPr>
        <w:pStyle w:val="2"/>
        <w:jc w:val="center"/>
      </w:pPr>
      <w:r>
        <w:rPr>
          <w:sz w:val="24"/>
        </w:rPr>
        <w:t xml:space="preserve">РАЗМЕРЫ</w:t>
      </w:r>
    </w:p>
    <w:p>
      <w:pPr>
        <w:pStyle w:val="2"/>
        <w:jc w:val="center"/>
      </w:pPr>
      <w:r>
        <w:rPr>
          <w:sz w:val="24"/>
        </w:rPr>
        <w:t xml:space="preserve">ОКЛАДОВ ПО ДРУГИМ (НЕТИПОВЫМ) ДОЛЖНОСТЯМ ЛИЦ, ПРОХОДЯЩИХ</w:t>
      </w:r>
    </w:p>
    <w:p>
      <w:pPr>
        <w:pStyle w:val="2"/>
        <w:jc w:val="center"/>
      </w:pPr>
      <w:r>
        <w:rPr>
          <w:sz w:val="24"/>
        </w:rPr>
        <w:t xml:space="preserve">СЛУЖБУ В ВОЙСКАХ НАЦИОНАЛЬНОЙ ГВАРДИИ РОССИЙСКОЙ ФЕДЕРАЦИИ</w:t>
      </w:r>
    </w:p>
    <w:p>
      <w:pPr>
        <w:pStyle w:val="2"/>
        <w:jc w:val="center"/>
      </w:pPr>
      <w:r>
        <w:rPr>
          <w:sz w:val="24"/>
        </w:rPr>
        <w:t xml:space="preserve">И ИМЕЮЩИХ СПЕЦИАЛЬНЫЕ ЗВАНИЯ ПОЛИЦИИ, ПОДЛЕЖАЩИМ ЗАМЕЩЕНИЮ</w:t>
      </w:r>
    </w:p>
    <w:p>
      <w:pPr>
        <w:pStyle w:val="2"/>
        <w:jc w:val="center"/>
      </w:pPr>
      <w:r>
        <w:rPr>
          <w:sz w:val="24"/>
        </w:rPr>
        <w:t xml:space="preserve">ВЫСШИМ НАЧАЛЬСТВУЮЩИМ СОСТАВОМ</w:t>
      </w:r>
    </w:p>
    <w:p>
      <w:pPr>
        <w:pStyle w:val="0"/>
        <w:jc w:val="center"/>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65"/>
        <w:gridCol w:w="6030"/>
        <w:gridCol w:w="2270"/>
      </w:tblGrid>
      <w:tr>
        <w:tc>
          <w:tcPr>
            <w:tcW w:w="765" w:type="dxa"/>
          </w:tcPr>
          <w:p>
            <w:pPr>
              <w:pStyle w:val="0"/>
              <w:jc w:val="center"/>
            </w:pPr>
            <w:r>
              <w:rPr>
                <w:sz w:val="24"/>
              </w:rPr>
              <w:t xml:space="preserve">N п/п</w:t>
            </w:r>
          </w:p>
        </w:tc>
        <w:tc>
          <w:tcPr>
            <w:tcW w:w="6030" w:type="dxa"/>
          </w:tcPr>
          <w:p>
            <w:pPr>
              <w:pStyle w:val="0"/>
              <w:jc w:val="center"/>
            </w:pPr>
            <w:r>
              <w:rPr>
                <w:sz w:val="24"/>
              </w:rPr>
              <w:t xml:space="preserve">Наименование должности</w:t>
            </w:r>
          </w:p>
        </w:tc>
        <w:tc>
          <w:tcPr>
            <w:tcW w:w="2270" w:type="dxa"/>
          </w:tcPr>
          <w:p>
            <w:pPr>
              <w:pStyle w:val="0"/>
              <w:jc w:val="center"/>
            </w:pPr>
            <w:r>
              <w:rPr>
                <w:sz w:val="24"/>
              </w:rPr>
              <w:t xml:space="preserve">Оклад по должности (в рублях в месяц)</w:t>
            </w:r>
          </w:p>
        </w:tc>
      </w:tr>
      <w:tr>
        <w:tc>
          <w:tcPr>
            <w:tcW w:w="765" w:type="dxa"/>
          </w:tcPr>
          <w:p>
            <w:pPr>
              <w:pStyle w:val="0"/>
              <w:jc w:val="center"/>
            </w:pPr>
            <w:r>
              <w:rPr>
                <w:sz w:val="24"/>
              </w:rPr>
              <w:t xml:space="preserve">1.</w:t>
            </w:r>
          </w:p>
        </w:tc>
        <w:tc>
          <w:tcPr>
            <w:tcW w:w="6030" w:type="dxa"/>
          </w:tcPr>
          <w:p>
            <w:pPr>
              <w:pStyle w:val="0"/>
              <w:jc w:val="both"/>
            </w:pPr>
            <w:r>
              <w:rPr>
                <w:sz w:val="24"/>
              </w:rPr>
              <w:t xml:space="preserve">Заместитель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 начальник Главного управления государственного контроля и лицензионно-разрешительной работы Федеральной службы войск национальной гвардии Российской Федерации</w:t>
            </w:r>
          </w:p>
        </w:tc>
        <w:tc>
          <w:tcPr>
            <w:tcW w:w="2270" w:type="dxa"/>
          </w:tcPr>
          <w:p>
            <w:pPr>
              <w:pStyle w:val="0"/>
              <w:jc w:val="center"/>
            </w:pPr>
            <w:r>
              <w:rPr>
                <w:sz w:val="24"/>
              </w:rPr>
              <w:t xml:space="preserve">63 039</w:t>
            </w:r>
          </w:p>
        </w:tc>
      </w:tr>
      <w:tr>
        <w:tc>
          <w:tcPr>
            <w:tcW w:w="765" w:type="dxa"/>
          </w:tcPr>
          <w:p>
            <w:pPr>
              <w:pStyle w:val="0"/>
              <w:jc w:val="center"/>
            </w:pPr>
            <w:r>
              <w:rPr>
                <w:sz w:val="24"/>
              </w:rPr>
              <w:t xml:space="preserve">2.</w:t>
            </w:r>
          </w:p>
        </w:tc>
        <w:tc>
          <w:tcPr>
            <w:tcW w:w="6030" w:type="dxa"/>
          </w:tcPr>
          <w:p>
            <w:pPr>
              <w:pStyle w:val="0"/>
              <w:jc w:val="both"/>
            </w:pPr>
            <w:r>
              <w:rPr>
                <w:sz w:val="24"/>
              </w:rPr>
              <w:t xml:space="preserve">Руководитель департамента</w:t>
            </w:r>
          </w:p>
        </w:tc>
        <w:tc>
          <w:tcPr>
            <w:tcW w:w="2270" w:type="dxa"/>
          </w:tcPr>
          <w:p>
            <w:pPr>
              <w:pStyle w:val="0"/>
              <w:jc w:val="center"/>
            </w:pPr>
            <w:r>
              <w:rPr>
                <w:sz w:val="24"/>
              </w:rPr>
              <w:t xml:space="preserve">53 012</w:t>
            </w:r>
          </w:p>
        </w:tc>
      </w:tr>
      <w:tr>
        <w:tc>
          <w:tcPr>
            <w:tcW w:w="765" w:type="dxa"/>
          </w:tcPr>
          <w:p>
            <w:pPr>
              <w:pStyle w:val="0"/>
              <w:jc w:val="center"/>
            </w:pPr>
            <w:r>
              <w:rPr>
                <w:sz w:val="24"/>
              </w:rPr>
              <w:t xml:space="preserve">3.</w:t>
            </w:r>
          </w:p>
        </w:tc>
        <w:tc>
          <w:tcPr>
            <w:tcW w:w="6030" w:type="dxa"/>
          </w:tcPr>
          <w:p>
            <w:pPr>
              <w:pStyle w:val="0"/>
              <w:jc w:val="both"/>
            </w:pPr>
            <w:r>
              <w:rPr>
                <w:sz w:val="24"/>
              </w:rPr>
              <w:t xml:space="preserve">Первый заместитель руководителя департамента</w:t>
            </w:r>
          </w:p>
        </w:tc>
        <w:tc>
          <w:tcPr>
            <w:tcW w:w="2270" w:type="dxa"/>
          </w:tcPr>
          <w:p>
            <w:pPr>
              <w:pStyle w:val="0"/>
              <w:jc w:val="center"/>
            </w:pPr>
            <w:r>
              <w:rPr>
                <w:sz w:val="24"/>
              </w:rPr>
              <w:t xml:space="preserve">51 579</w:t>
            </w:r>
          </w:p>
        </w:tc>
      </w:tr>
      <w:tr>
        <w:tc>
          <w:tcPr>
            <w:tcW w:w="765" w:type="dxa"/>
          </w:tcPr>
          <w:p>
            <w:pPr>
              <w:pStyle w:val="0"/>
              <w:jc w:val="center"/>
            </w:pPr>
            <w:r>
              <w:rPr>
                <w:sz w:val="24"/>
              </w:rPr>
              <w:t xml:space="preserve">4.</w:t>
            </w:r>
          </w:p>
        </w:tc>
        <w:tc>
          <w:tcPr>
            <w:tcW w:w="6030" w:type="dxa"/>
          </w:tcPr>
          <w:p>
            <w:pPr>
              <w:pStyle w:val="0"/>
              <w:jc w:val="both"/>
            </w:pPr>
            <w:r>
              <w:rPr>
                <w:sz w:val="24"/>
              </w:rPr>
              <w:t xml:space="preserve">Заместитель начальника Инспекции Федеральной службы войск национальной гвардии Российской Федерации - главный инспектор, заместитель руководителя департамента, помощник директора</w:t>
            </w:r>
          </w:p>
        </w:tc>
        <w:tc>
          <w:tcPr>
            <w:tcW w:w="2270" w:type="dxa"/>
          </w:tcPr>
          <w:p>
            <w:pPr>
              <w:pStyle w:val="0"/>
              <w:jc w:val="center"/>
            </w:pPr>
            <w:r>
              <w:rPr>
                <w:sz w:val="24"/>
              </w:rPr>
              <w:t xml:space="preserve">50 146</w:t>
            </w:r>
          </w:p>
        </w:tc>
      </w:tr>
      <w:tr>
        <w:tc>
          <w:tcPr>
            <w:tcW w:w="765" w:type="dxa"/>
          </w:tcPr>
          <w:p>
            <w:pPr>
              <w:pStyle w:val="0"/>
              <w:jc w:val="center"/>
            </w:pPr>
            <w:r>
              <w:rPr>
                <w:sz w:val="24"/>
              </w:rPr>
              <w:t xml:space="preserve">5.</w:t>
            </w:r>
          </w:p>
        </w:tc>
        <w:tc>
          <w:tcPr>
            <w:tcW w:w="6030" w:type="dxa"/>
          </w:tcPr>
          <w:p>
            <w:pPr>
              <w:pStyle w:val="0"/>
              <w:jc w:val="both"/>
            </w:pPr>
            <w:r>
              <w:rPr>
                <w:sz w:val="24"/>
              </w:rPr>
              <w:t xml:space="preserve">Заместитель командующего округом (всех наименований)</w:t>
            </w:r>
          </w:p>
        </w:tc>
        <w:tc>
          <w:tcPr>
            <w:tcW w:w="2270" w:type="dxa"/>
          </w:tcPr>
          <w:p>
            <w:pPr>
              <w:pStyle w:val="0"/>
              <w:jc w:val="center"/>
            </w:pPr>
            <w:r>
              <w:rPr>
                <w:sz w:val="24"/>
              </w:rPr>
              <w:t xml:space="preserve">48 713</w:t>
            </w:r>
          </w:p>
        </w:tc>
      </w:tr>
      <w:tr>
        <w:tc>
          <w:tcPr>
            <w:tcW w:w="765" w:type="dxa"/>
          </w:tcPr>
          <w:p>
            <w:pPr>
              <w:pStyle w:val="0"/>
              <w:jc w:val="center"/>
            </w:pPr>
            <w:r>
              <w:rPr>
                <w:sz w:val="24"/>
              </w:rPr>
              <w:t xml:space="preserve">6.</w:t>
            </w:r>
          </w:p>
        </w:tc>
        <w:tc>
          <w:tcPr>
            <w:tcW w:w="6030" w:type="dxa"/>
          </w:tcPr>
          <w:p>
            <w:pPr>
              <w:pStyle w:val="0"/>
              <w:jc w:val="both"/>
            </w:pPr>
            <w:r>
              <w:rPr>
                <w:sz w:val="24"/>
              </w:rPr>
              <w:t xml:space="preserve">Главный инспектор Федеральной службы войск национальной гвардии Российской Федерации, начальник центра специального назначения, начальник главного управления по субъекту (субъектам) Российской Федерации</w:t>
            </w:r>
          </w:p>
        </w:tc>
        <w:tc>
          <w:tcPr>
            <w:tcW w:w="2270" w:type="dxa"/>
          </w:tcPr>
          <w:p>
            <w:pPr>
              <w:pStyle w:val="0"/>
              <w:jc w:val="center"/>
            </w:pPr>
            <w:r>
              <w:rPr>
                <w:sz w:val="24"/>
              </w:rPr>
              <w:t xml:space="preserve">47 281</w:t>
            </w:r>
          </w:p>
        </w:tc>
      </w:tr>
      <w:tr>
        <w:tc>
          <w:tcPr>
            <w:tcW w:w="765" w:type="dxa"/>
          </w:tcPr>
          <w:p>
            <w:pPr>
              <w:pStyle w:val="0"/>
              <w:jc w:val="center"/>
            </w:pPr>
            <w:r>
              <w:rPr>
                <w:sz w:val="24"/>
              </w:rPr>
              <w:t xml:space="preserve">7.</w:t>
            </w:r>
          </w:p>
        </w:tc>
        <w:tc>
          <w:tcPr>
            <w:tcW w:w="6030" w:type="dxa"/>
          </w:tcPr>
          <w:p>
            <w:pPr>
              <w:pStyle w:val="0"/>
              <w:jc w:val="both"/>
            </w:pPr>
            <w:r>
              <w:rPr>
                <w:sz w:val="24"/>
              </w:rPr>
              <w:t xml:space="preserve">Заместитель начальника главного управления по субъекту (субъектам) Российской Федерации</w:t>
            </w:r>
          </w:p>
        </w:tc>
        <w:tc>
          <w:tcPr>
            <w:tcW w:w="2270" w:type="dxa"/>
          </w:tcPr>
          <w:p>
            <w:pPr>
              <w:pStyle w:val="0"/>
              <w:jc w:val="center"/>
            </w:pPr>
            <w:r>
              <w:rPr>
                <w:sz w:val="24"/>
              </w:rPr>
              <w:t xml:space="preserve">40 118</w:t>
            </w:r>
          </w:p>
        </w:tc>
      </w:tr>
      <w:tr>
        <w:tc>
          <w:tcPr>
            <w:tcW w:w="765" w:type="dxa"/>
          </w:tcPr>
          <w:p>
            <w:pPr>
              <w:pStyle w:val="0"/>
              <w:jc w:val="center"/>
            </w:pPr>
            <w:r>
              <w:rPr>
                <w:sz w:val="24"/>
              </w:rPr>
              <w:t xml:space="preserve">8.</w:t>
            </w:r>
          </w:p>
        </w:tc>
        <w:tc>
          <w:tcPr>
            <w:tcW w:w="6030" w:type="dxa"/>
          </w:tcPr>
          <w:p>
            <w:pPr>
              <w:pStyle w:val="0"/>
              <w:jc w:val="both"/>
            </w:pPr>
            <w:r>
              <w:rPr>
                <w:sz w:val="24"/>
              </w:rPr>
              <w:t xml:space="preserve">Командир отряда мобильного особого назначения главного управления по субъекту (субъектам) Российской Федерации</w:t>
            </w:r>
          </w:p>
        </w:tc>
        <w:tc>
          <w:tcPr>
            <w:tcW w:w="2270" w:type="dxa"/>
          </w:tcPr>
          <w:p>
            <w:pPr>
              <w:pStyle w:val="0"/>
              <w:jc w:val="center"/>
            </w:pPr>
            <w:r>
              <w:rPr>
                <w:sz w:val="24"/>
              </w:rPr>
              <w:t xml:space="preserve">35 819</w:t>
            </w:r>
          </w:p>
        </w:tc>
      </w:tr>
    </w:tbl>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Росгвардии от 15.10.2025 N 365</w:t>
            <w:br/>
            <w:t>"Об установлении размеров окладов по нетиповым воинским должностям военнослужащих,...</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1293&amp;date=28.11.2025&amp;dst=100145&amp;field=134&amp;demo=2" TargetMode = "External"/><Relationship Id="rId9" Type="http://schemas.openxmlformats.org/officeDocument/2006/relationships/hyperlink" Target="https://login.consultant.ru/link/?req=doc&amp;base=LAW&amp;n=494993&amp;date=28.11.2025&amp;dst=100250&amp;field=134&amp;demo=2" TargetMode = "External"/><Relationship Id="rId10" Type="http://schemas.openxmlformats.org/officeDocument/2006/relationships/hyperlink" Target="https://login.consultant.ru/link/?req=doc&amp;base=LAW&amp;n=511256&amp;date=28.11.2025&amp;dst=100298&amp;field=134&amp;demo=2" TargetMode = "External"/><Relationship Id="rId11" Type="http://schemas.openxmlformats.org/officeDocument/2006/relationships/hyperlink" Target="https://login.consultant.ru/link/?req=doc&amp;base=LAW&amp;n=455339&amp;date=28.11.2025&amp;dst=7&amp;field=134&amp;demo=2" TargetMode = "External"/><Relationship Id="rId12" Type="http://schemas.openxmlformats.org/officeDocument/2006/relationships/hyperlink" Target="https://login.consultant.ru/link/?req=doc&amp;base=LAW&amp;n=455339&amp;date=28.11.2025&amp;dst=100724&amp;field=134&amp;demo=2" TargetMode = "External"/><Relationship Id="rId13" Type="http://schemas.openxmlformats.org/officeDocument/2006/relationships/hyperlink" Target="https://login.consultant.ru/link/?req=doc&amp;base=LAW&amp;n=491600&amp;date=28.11.2025&amp;demo=2" TargetMode = "External"/><Relationship Id="rId14" Type="http://schemas.openxmlformats.org/officeDocument/2006/relationships/hyperlink" Target="https://login.consultant.ru/link/?req=doc&amp;base=LAW&amp;n=491547&amp;date=28.11.2025&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Росгвардии от 15.10.2025 N 365
"Об установлении размеров окладов по нетиповым воинским должностям военнослужащих, проходящих военную службу по контракту в войсках национальной гвардии Российской Федерации, подлежащим замещению высшими офицерами, и размеров окладов по другим (нетиповым) должностям лиц, проходящих службу в войсках национальной гвардии Российской Федерации и имеющих специальные звания полиции, подлежащим замещению высшим начальствующим составом"
(Зарегистрировано в Минюсте России 26.11.</dc:title>
  <dcterms:created xsi:type="dcterms:W3CDTF">2025-11-28T14:19:22Z</dcterms:created>
</cp:coreProperties>
</file>