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Генпрокуратуры России от 04.12.2025 N 838</w:t>
              <w:br/>
              <w:t xml:space="preserve">"Об утверждении Порядка организации в органах военной прокуратуры деятельности по учету лиц, зарегистрированных органами регистрационного учета по месту жительства по адресам военных прокуратур, и снятию указанных лиц с такого учета"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08.12.2025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ГЕНЕРАЛЬНАЯ ПРОКУРАТУРА РОССИЙСКОЙ ФЕДЕРАЦИИ</w:t>
      </w:r>
    </w:p>
    <w:p>
      <w:pPr>
        <w:pStyle w:val="2"/>
        <w:jc w:val="both"/>
      </w:pPr>
      <w:r>
        <w:rPr>
          <w:sz w:val="24"/>
        </w:rPr>
      </w:r>
    </w:p>
    <w:p>
      <w:pPr>
        <w:pStyle w:val="2"/>
        <w:jc w:val="center"/>
      </w:pPr>
      <w:r>
        <w:rPr>
          <w:sz w:val="24"/>
        </w:rPr>
        <w:t xml:space="preserve">ПРИКАЗ</w:t>
      </w:r>
    </w:p>
    <w:p>
      <w:pPr>
        <w:pStyle w:val="2"/>
        <w:jc w:val="center"/>
      </w:pPr>
      <w:r>
        <w:rPr>
          <w:sz w:val="24"/>
        </w:rPr>
        <w:t xml:space="preserve">от 4 декабря 2025 г. N 838</w:t>
      </w:r>
    </w:p>
    <w:p>
      <w:pPr>
        <w:pStyle w:val="2"/>
        <w:jc w:val="both"/>
      </w:pPr>
      <w:r>
        <w:rPr>
          <w:sz w:val="24"/>
        </w:rPr>
      </w:r>
    </w:p>
    <w:p>
      <w:pPr>
        <w:pStyle w:val="2"/>
        <w:jc w:val="center"/>
      </w:pPr>
      <w:r>
        <w:rPr>
          <w:sz w:val="24"/>
        </w:rPr>
        <w:t xml:space="preserve">ОБ УТВЕРЖДЕНИИ ПОРЯДКА</w:t>
      </w:r>
    </w:p>
    <w:p>
      <w:pPr>
        <w:pStyle w:val="2"/>
        <w:jc w:val="center"/>
      </w:pPr>
      <w:r>
        <w:rPr>
          <w:sz w:val="24"/>
        </w:rPr>
        <w:t xml:space="preserve">ОРГАНИЗАЦИИ В ОРГАНАХ ВОЕННОЙ ПРОКУРАТУРЫ ДЕЯТЕЛЬНОСТИ</w:t>
      </w:r>
    </w:p>
    <w:p>
      <w:pPr>
        <w:pStyle w:val="2"/>
        <w:jc w:val="center"/>
      </w:pPr>
      <w:r>
        <w:rPr>
          <w:sz w:val="24"/>
        </w:rPr>
        <w:t xml:space="preserve">ПО УЧЕТУ ЛИЦ, ЗАРЕГИСТРИРОВАННЫХ ОРГАНАМИ РЕГИСТРАЦИОННОГО</w:t>
      </w:r>
    </w:p>
    <w:p>
      <w:pPr>
        <w:pStyle w:val="2"/>
        <w:jc w:val="center"/>
      </w:pPr>
      <w:r>
        <w:rPr>
          <w:sz w:val="24"/>
        </w:rPr>
        <w:t xml:space="preserve">УЧЕТА ПО МЕСТУ ЖИТЕЛЬСТВА ПО АДРЕСАМ ВОЕННЫХ ПРОКУРАТУР,</w:t>
      </w:r>
    </w:p>
    <w:p>
      <w:pPr>
        <w:pStyle w:val="2"/>
        <w:jc w:val="center"/>
      </w:pPr>
      <w:r>
        <w:rPr>
          <w:sz w:val="24"/>
        </w:rPr>
        <w:t xml:space="preserve">И СНЯТИЮ УКАЗАННЫХ ЛИЦ С ТАКОГО УЧЕТА</w:t>
      </w:r>
    </w:p>
    <w:p>
      <w:pPr>
        <w:pStyle w:val="0"/>
        <w:jc w:val="both"/>
      </w:pPr>
      <w:r>
        <w:rPr>
          <w:sz w:val="24"/>
        </w:rPr>
      </w:r>
    </w:p>
    <w:p>
      <w:pPr>
        <w:pStyle w:val="0"/>
        <w:ind w:firstLine="540"/>
        <w:jc w:val="both"/>
      </w:pPr>
      <w:r>
        <w:rPr>
          <w:sz w:val="24"/>
        </w:rPr>
        <w:t xml:space="preserve">В соответствии со </w:t>
      </w:r>
      <w:hyperlink w:history="0" r:id="rId8" w:tooltip="Федеральный закон от 27.05.1998 N 76-ФЗ (ред. от 07.07.2025) &quot;О статусе военнослужащих&quot; {КонсультантПлюс}">
        <w:r>
          <w:rPr>
            <w:sz w:val="24"/>
            <w:color w:val="0000ff"/>
          </w:rPr>
          <w:t xml:space="preserve">статьей 6</w:t>
        </w:r>
      </w:hyperlink>
      <w:r>
        <w:rPr>
          <w:sz w:val="24"/>
        </w:rPr>
        <w:t xml:space="preserve"> Федерального закона от 27 мая 1998 г. N 76-ФЗ "О статусе военнослужащих", руководствуясь </w:t>
      </w:r>
      <w:hyperlink w:history="0" r:id="rId9" w:tooltip="Федеральный закон от 17.01.1992 N 2202-I (ред. от 03.02.2025) &quot;О прокуратуре Российской Федерации&quot; {КонсультантПлюс}">
        <w:r>
          <w:rPr>
            <w:sz w:val="24"/>
            <w:color w:val="0000ff"/>
          </w:rPr>
          <w:t xml:space="preserve">пунктом 1 статьи 17</w:t>
        </w:r>
      </w:hyperlink>
      <w:r>
        <w:rPr>
          <w:sz w:val="24"/>
        </w:rPr>
        <w:t xml:space="preserve"> Федерального закона "О прокуратуре Российской Федерации", приказываю:</w:t>
      </w:r>
    </w:p>
    <w:p>
      <w:pPr>
        <w:pStyle w:val="0"/>
        <w:spacing w:before="240" w:lineRule="auto"/>
        <w:ind w:firstLine="540"/>
        <w:jc w:val="both"/>
      </w:pPr>
      <w:r>
        <w:rPr>
          <w:sz w:val="24"/>
        </w:rPr>
        <w:t xml:space="preserve">1. Утвердить </w:t>
      </w:r>
      <w:hyperlink w:history="0" w:anchor="P33" w:tooltip="ПОРЯДОК">
        <w:r>
          <w:rPr>
            <w:sz w:val="24"/>
            <w:color w:val="0000ff"/>
          </w:rPr>
          <w:t xml:space="preserve">Порядок</w:t>
        </w:r>
      </w:hyperlink>
      <w:r>
        <w:rPr>
          <w:sz w:val="24"/>
        </w:rPr>
        <w:t xml:space="preserve"> организации в органах военной прокуратуры деятельности по учету лиц, зарегистрированных органами регистрационного учета по месту жительства по адресам военных прокуратур, и снятию указанных лиц с такого учета.</w:t>
      </w:r>
    </w:p>
    <w:p>
      <w:pPr>
        <w:pStyle w:val="0"/>
        <w:spacing w:before="240" w:lineRule="auto"/>
        <w:ind w:firstLine="540"/>
        <w:jc w:val="both"/>
      </w:pPr>
      <w:r>
        <w:rPr>
          <w:sz w:val="24"/>
        </w:rPr>
        <w:t xml:space="preserve">2. Приказ опубликовать в журнале "Законность" и разместить на официальном сайте Генеральной прокуратуры Российской Федерации в информационно-телекоммуникационной сети "Интернет".</w:t>
      </w:r>
    </w:p>
    <w:p>
      <w:pPr>
        <w:pStyle w:val="0"/>
        <w:spacing w:before="240" w:lineRule="auto"/>
        <w:ind w:firstLine="540"/>
        <w:jc w:val="both"/>
      </w:pPr>
      <w:r>
        <w:rPr>
          <w:sz w:val="24"/>
        </w:rPr>
        <w:t xml:space="preserve">3. Контроль за исполнением приказа возложить на заместителя Генерального прокурора Российской Федерации - Главного военного прокурора.</w:t>
      </w:r>
    </w:p>
    <w:p>
      <w:pPr>
        <w:pStyle w:val="0"/>
        <w:spacing w:before="240" w:lineRule="auto"/>
        <w:ind w:firstLine="540"/>
        <w:jc w:val="both"/>
      </w:pPr>
      <w:r>
        <w:rPr>
          <w:sz w:val="24"/>
        </w:rPr>
        <w:t xml:space="preserve">Приказ направить заместителям Генерального прокурора Российской Федерации, советникам Генерального прокурора Российской Федерации, старшим помощникам Генерального прокурора Российской Федерации по особым поручениям, помощникам заместителей Генерального прокурора Российской Федерации по особым поручениям, начальникам главных управлений, управлений и отделов Генеральной прокуратуры Российской Федерации, ректору Университета прокуратуры Российской Федерации, прокурорам субъектов Российской Федерации, приравненным к ним военным и иным специализированным прокурорам, прокурору комплекса "Байконур", которым довести его содержание до сведения подчиненных работников.</w:t>
      </w:r>
    </w:p>
    <w:p>
      <w:pPr>
        <w:pStyle w:val="0"/>
        <w:jc w:val="both"/>
      </w:pPr>
      <w:r>
        <w:rPr>
          <w:sz w:val="24"/>
        </w:rPr>
      </w:r>
    </w:p>
    <w:p>
      <w:pPr>
        <w:pStyle w:val="0"/>
        <w:jc w:val="right"/>
      </w:pPr>
      <w:r>
        <w:rPr>
          <w:sz w:val="24"/>
        </w:rPr>
        <w:t xml:space="preserve">Генеральный прокурор</w:t>
      </w:r>
    </w:p>
    <w:p>
      <w:pPr>
        <w:pStyle w:val="0"/>
        <w:jc w:val="right"/>
      </w:pPr>
      <w:r>
        <w:rPr>
          <w:sz w:val="24"/>
        </w:rPr>
        <w:t xml:space="preserve">Российской Федерации</w:t>
      </w:r>
    </w:p>
    <w:p>
      <w:pPr>
        <w:pStyle w:val="0"/>
        <w:jc w:val="right"/>
      </w:pPr>
      <w:r>
        <w:rPr>
          <w:sz w:val="24"/>
        </w:rPr>
        <w:t xml:space="preserve">действительный государственный</w:t>
      </w:r>
    </w:p>
    <w:p>
      <w:pPr>
        <w:pStyle w:val="0"/>
        <w:jc w:val="right"/>
      </w:pPr>
      <w:r>
        <w:rPr>
          <w:sz w:val="24"/>
        </w:rPr>
        <w:t xml:space="preserve">советник юстиции</w:t>
      </w:r>
    </w:p>
    <w:p>
      <w:pPr>
        <w:pStyle w:val="0"/>
        <w:jc w:val="right"/>
      </w:pPr>
      <w:r>
        <w:rPr>
          <w:sz w:val="24"/>
        </w:rPr>
        <w:t xml:space="preserve">А.В.ГУЦАН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 Генерального прокурора</w:t>
      </w:r>
    </w:p>
    <w:p>
      <w:pPr>
        <w:pStyle w:val="0"/>
        <w:jc w:val="right"/>
      </w:pPr>
      <w:r>
        <w:rPr>
          <w:sz w:val="24"/>
        </w:rPr>
        <w:t xml:space="preserve">Российской Федерации</w:t>
      </w:r>
    </w:p>
    <w:p>
      <w:pPr>
        <w:pStyle w:val="0"/>
        <w:jc w:val="right"/>
      </w:pPr>
      <w:r>
        <w:rPr>
          <w:sz w:val="24"/>
        </w:rPr>
        <w:t xml:space="preserve">от 04.12.2025 N 838</w:t>
      </w:r>
    </w:p>
    <w:p>
      <w:pPr>
        <w:pStyle w:val="0"/>
        <w:jc w:val="both"/>
      </w:pPr>
      <w:r>
        <w:rPr>
          <w:sz w:val="24"/>
        </w:rPr>
      </w:r>
    </w:p>
    <w:bookmarkStart w:id="33" w:name="P33"/>
    <w:bookmarkEnd w:id="33"/>
    <w:p>
      <w:pPr>
        <w:pStyle w:val="2"/>
        <w:jc w:val="center"/>
      </w:pPr>
      <w:r>
        <w:rPr>
          <w:sz w:val="24"/>
        </w:rPr>
        <w:t xml:space="preserve">ПОРЯДОК</w:t>
      </w:r>
    </w:p>
    <w:p>
      <w:pPr>
        <w:pStyle w:val="2"/>
        <w:jc w:val="center"/>
      </w:pPr>
      <w:r>
        <w:rPr>
          <w:sz w:val="24"/>
        </w:rPr>
        <w:t xml:space="preserve">ОРГАНИЗАЦИИ В ОРГАНАХ ВОЕННОЙ ПРОКУРАТУРЫ ДЕЯТЕЛЬНОСТИ</w:t>
      </w:r>
    </w:p>
    <w:p>
      <w:pPr>
        <w:pStyle w:val="2"/>
        <w:jc w:val="center"/>
      </w:pPr>
      <w:r>
        <w:rPr>
          <w:sz w:val="24"/>
        </w:rPr>
        <w:t xml:space="preserve">ПО УЧЕТУ ЛИЦ, ЗАРЕГИСТРИРОВАННЫХ ОРГАНАМИ РЕГИСТРАЦИОННОГО</w:t>
      </w:r>
    </w:p>
    <w:p>
      <w:pPr>
        <w:pStyle w:val="2"/>
        <w:jc w:val="center"/>
      </w:pPr>
      <w:r>
        <w:rPr>
          <w:sz w:val="24"/>
        </w:rPr>
        <w:t xml:space="preserve">УЧЕТА ПО МЕСТУ ЖИТЕЛЬСТВА ПО АДРЕСАМ ВОЕННЫХ ПРОКУРАТУР,</w:t>
      </w:r>
    </w:p>
    <w:p>
      <w:pPr>
        <w:pStyle w:val="2"/>
        <w:jc w:val="center"/>
      </w:pPr>
      <w:r>
        <w:rPr>
          <w:sz w:val="24"/>
        </w:rPr>
        <w:t xml:space="preserve">И СНЯТИЮ УКАЗАННЫХ ЛИЦ С ТАКОГО УЧЕТА</w:t>
      </w:r>
    </w:p>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1.1. Порядок организации в органах военной прокуратуры деятельности по учету лиц, зарегистрированных органами регистрационного учета по месту жительства по адресам военных прокуратур, и снятию указанных лиц с такого учета (далее - Порядок) разработан в соответствии с Федеральным </w:t>
      </w:r>
      <w:hyperlink w:history="0" r:id="rId10" w:tooltip="Федеральный закон от 27.05.1998 N 76-ФЗ (ред. от 07.07.2025) &quot;О статусе военнослужащих&quot; {КонсультантПлюс}">
        <w:r>
          <w:rPr>
            <w:sz w:val="24"/>
            <w:color w:val="0000ff"/>
          </w:rPr>
          <w:t xml:space="preserve">законом</w:t>
        </w:r>
      </w:hyperlink>
      <w:r>
        <w:rPr>
          <w:sz w:val="24"/>
        </w:rPr>
        <w:t xml:space="preserve"> от 27 мая 1998 г. N 76-ФЗ "О статусе военнослужащих" (далее - Федеральный закон N 76-ФЗ), </w:t>
      </w:r>
      <w:hyperlink w:history="0" r:id="rId11"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Законом</w:t>
        </w:r>
      </w:hyperlink>
      <w:r>
        <w:rPr>
          <w:sz w:val="24"/>
        </w:rPr>
        <w:t xml:space="preserve"> Российской Федерации от 25 июня 1993 г. N 5242-1 "О праве граждан Российской Федерации на свободу передвижения, выбор места пребывания и жительства в пределах Российской Федерации", </w:t>
      </w:r>
      <w:hyperlink w:history="0" r:id="rId12" w:tooltip="Постановление Правительства РФ от 17.07.1995 N 713 (ред. от 27.10.2025)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Правилами</w:t>
        </w:r>
      </w:hyperlink>
      <w:r>
        <w:rPr>
          <w:sz w:val="24"/>
        </w:rPr>
        <w:t xml:space="preserve">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утвержденными постановлением Правительства Российской Федерации от 17 июля 1995 г. N 713 (далее - Правила, утвержденные постановлением Правительства Российской Федерации от 17 июля 1995 г. N 713).</w:t>
      </w:r>
    </w:p>
    <w:p>
      <w:pPr>
        <w:pStyle w:val="0"/>
        <w:spacing w:before="240" w:lineRule="auto"/>
        <w:ind w:firstLine="540"/>
        <w:jc w:val="both"/>
      </w:pPr>
      <w:r>
        <w:rPr>
          <w:sz w:val="24"/>
        </w:rPr>
        <w:t xml:space="preserve">1.2. Заместитель Генерального прокурора Российской Федерации - Главный военный прокурор, военные прокуроры военных округов, флотов, Ракетных войск стратегического назначения, Московский городской военный прокурор, военные прокуроры объединений, соединений, гарнизонов и других военных прокуратур, приравненные к прокурорам районов (далее - руководитель органа военной прокуратуры), определяют должностных лиц, ответственных за организацию и проведение работы по реализации положений Порядка (далее - ответственные должностные лица), которым выдается доверенность на представление интересов органа военной прокуратуры в органах регистрационного учета.</w:t>
      </w:r>
    </w:p>
    <w:bookmarkStart w:id="43" w:name="P43"/>
    <w:bookmarkEnd w:id="43"/>
    <w:p>
      <w:pPr>
        <w:pStyle w:val="0"/>
        <w:spacing w:before="240" w:lineRule="auto"/>
        <w:ind w:firstLine="540"/>
        <w:jc w:val="both"/>
      </w:pPr>
      <w:r>
        <w:rPr>
          <w:sz w:val="24"/>
        </w:rPr>
        <w:t xml:space="preserve">1.3. На ответственных должностных лиц возлагаются обязанности:</w:t>
      </w:r>
    </w:p>
    <w:p>
      <w:pPr>
        <w:pStyle w:val="0"/>
        <w:spacing w:before="240" w:lineRule="auto"/>
        <w:ind w:firstLine="540"/>
        <w:jc w:val="both"/>
      </w:pPr>
      <w:r>
        <w:rPr>
          <w:sz w:val="24"/>
        </w:rPr>
        <w:t xml:space="preserve">по проверке документов, представляемых военнослужащими органов военной прокуратуры в отношении себя и совместно проживающих с ними членов их семей, необходимых для регистрации по месту жительства по адресам военных прокуратур (далее - военнослужащие, члены их семей, регистрация по месту жительства соответственно);</w:t>
      </w:r>
    </w:p>
    <w:p>
      <w:pPr>
        <w:pStyle w:val="0"/>
        <w:spacing w:before="240" w:lineRule="auto"/>
        <w:ind w:firstLine="540"/>
        <w:jc w:val="both"/>
      </w:pPr>
      <w:r>
        <w:rPr>
          <w:sz w:val="24"/>
        </w:rPr>
        <w:t xml:space="preserve">направлению запросов в органы, осуществляющие государственную регистрацию прав на недвижимое имущество и сделок с ним, о предоставлении сведений из Единого государственного реестра недвижимости о правах военнослужащих (граждан, уволенных с военной службы) и совместно проживающих с ними членов их семей на имеющиеся у них объекты недвижимости;</w:t>
      </w:r>
    </w:p>
    <w:p>
      <w:pPr>
        <w:pStyle w:val="0"/>
        <w:spacing w:before="240" w:lineRule="auto"/>
        <w:ind w:firstLine="540"/>
        <w:jc w:val="both"/>
      </w:pPr>
      <w:r>
        <w:rPr>
          <w:sz w:val="24"/>
        </w:rPr>
        <w:t xml:space="preserve">организации взаимодействия с органами регистрационного учета по вопросам регистрационного учета военнослужащих и совместно проживающих с ними членов семей по месту жительства;</w:t>
      </w:r>
    </w:p>
    <w:p>
      <w:pPr>
        <w:pStyle w:val="0"/>
        <w:spacing w:before="240" w:lineRule="auto"/>
        <w:ind w:firstLine="540"/>
        <w:jc w:val="both"/>
      </w:pPr>
      <w:r>
        <w:rPr>
          <w:sz w:val="24"/>
        </w:rPr>
        <w:t xml:space="preserve">ведению журнала учета лиц, зарегистрированных органами регистрационного учета по месту жительства по адресу военной прокуратуры, согласно </w:t>
      </w:r>
      <w:hyperlink w:history="0" w:anchor="P124" w:tooltip="                                  ЖУРНАЛ">
        <w:r>
          <w:rPr>
            <w:sz w:val="24"/>
            <w:color w:val="0000ff"/>
          </w:rPr>
          <w:t xml:space="preserve">приложению N 1</w:t>
        </w:r>
      </w:hyperlink>
      <w:r>
        <w:rPr>
          <w:sz w:val="24"/>
        </w:rPr>
        <w:t xml:space="preserve"> (далее - журнал учета);</w:t>
      </w:r>
    </w:p>
    <w:p>
      <w:pPr>
        <w:pStyle w:val="0"/>
        <w:spacing w:before="240" w:lineRule="auto"/>
        <w:ind w:firstLine="540"/>
        <w:jc w:val="both"/>
      </w:pPr>
      <w:r>
        <w:rPr>
          <w:sz w:val="24"/>
        </w:rPr>
        <w:t xml:space="preserve">контролю за правомерным нахождением лиц на регистрационном учете по адресу органа военной прокуратуры;</w:t>
      </w:r>
    </w:p>
    <w:p>
      <w:pPr>
        <w:pStyle w:val="0"/>
        <w:spacing w:before="240" w:lineRule="auto"/>
        <w:ind w:firstLine="540"/>
        <w:jc w:val="both"/>
      </w:pPr>
      <w:r>
        <w:rPr>
          <w:sz w:val="24"/>
        </w:rPr>
        <w:t xml:space="preserve">проведению информационно-разъяснительной работы об особенностях регистрационного учета военнослужащих и членов их семей по месту жительства.</w:t>
      </w:r>
    </w:p>
    <w:p>
      <w:pPr>
        <w:pStyle w:val="0"/>
        <w:spacing w:before="240" w:lineRule="auto"/>
        <w:ind w:firstLine="540"/>
        <w:jc w:val="both"/>
      </w:pPr>
      <w:r>
        <w:rPr>
          <w:sz w:val="24"/>
        </w:rPr>
        <w:t xml:space="preserve">1.4. Решение о наличии права на регистрацию (об отсутствии права на регистрацию) по месту жительства принимается руководителем органа военной прокуратуры или уполномоченным им должностным лицом.</w:t>
      </w:r>
    </w:p>
    <w:p>
      <w:pPr>
        <w:pStyle w:val="0"/>
        <w:jc w:val="both"/>
      </w:pPr>
      <w:r>
        <w:rPr>
          <w:sz w:val="24"/>
        </w:rPr>
      </w:r>
    </w:p>
    <w:p>
      <w:pPr>
        <w:pStyle w:val="2"/>
        <w:outlineLvl w:val="1"/>
        <w:jc w:val="center"/>
      </w:pPr>
      <w:r>
        <w:rPr>
          <w:sz w:val="24"/>
        </w:rPr>
        <w:t xml:space="preserve">2. Организация деятельности по учету лиц,</w:t>
      </w:r>
    </w:p>
    <w:p>
      <w:pPr>
        <w:pStyle w:val="2"/>
        <w:jc w:val="center"/>
      </w:pPr>
      <w:r>
        <w:rPr>
          <w:sz w:val="24"/>
        </w:rPr>
        <w:t xml:space="preserve">зарегистрированных органами регистрационного учета по месту</w:t>
      </w:r>
    </w:p>
    <w:p>
      <w:pPr>
        <w:pStyle w:val="2"/>
        <w:jc w:val="center"/>
      </w:pPr>
      <w:r>
        <w:rPr>
          <w:sz w:val="24"/>
        </w:rPr>
        <w:t xml:space="preserve">жительства по адресам военных прокуратур</w:t>
      </w:r>
    </w:p>
    <w:p>
      <w:pPr>
        <w:pStyle w:val="0"/>
        <w:jc w:val="both"/>
      </w:pPr>
      <w:r>
        <w:rPr>
          <w:sz w:val="24"/>
        </w:rPr>
      </w:r>
    </w:p>
    <w:bookmarkStart w:id="56" w:name="P56"/>
    <w:bookmarkEnd w:id="56"/>
    <w:p>
      <w:pPr>
        <w:pStyle w:val="0"/>
        <w:ind w:firstLine="540"/>
        <w:jc w:val="both"/>
      </w:pPr>
      <w:r>
        <w:rPr>
          <w:sz w:val="24"/>
        </w:rPr>
        <w:t xml:space="preserve">2.1. В соответствии со </w:t>
      </w:r>
      <w:hyperlink w:history="0" r:id="rId13"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статьей 6</w:t>
        </w:r>
      </w:hyperlink>
      <w:r>
        <w:rPr>
          <w:sz w:val="24"/>
        </w:rPr>
        <w:t xml:space="preserve"> Закона Российской Федерации от 25 июня 1993 г. N 5242-1 "О праве граждан Российской Федерации на свободу передвижения, выбор места пребывания и жительства в пределах Российской Федерации" при наличии оснований, предусмотренных </w:t>
      </w:r>
      <w:hyperlink w:history="0" r:id="rId14" w:tooltip="Федеральный закон от 27.05.1998 N 76-ФЗ (ред. от 07.07.2025) &quot;О статусе военнослужащих&quot; {КонсультантПлюс}">
        <w:r>
          <w:rPr>
            <w:sz w:val="24"/>
            <w:color w:val="0000ff"/>
          </w:rPr>
          <w:t xml:space="preserve">пунктом 4 статьи 6</w:t>
        </w:r>
      </w:hyperlink>
      <w:r>
        <w:rPr>
          <w:sz w:val="24"/>
        </w:rPr>
        <w:t xml:space="preserve"> Федерального закона N 76-ФЗ, военнослужащий в срок не позднее семи дней со дня прибытия к месту прохождения военной службы подает на имя руководителя органа военной прокуратуры рапорт о регистрации по месту жительства его и (или) членов семьи (рекомендуемый образец приведен в </w:t>
      </w:r>
      <w:hyperlink w:history="0" w:anchor="P189" w:tooltip="РАПОРТ">
        <w:r>
          <w:rPr>
            <w:sz w:val="24"/>
            <w:color w:val="0000ff"/>
          </w:rPr>
          <w:t xml:space="preserve">приложении N 2</w:t>
        </w:r>
      </w:hyperlink>
      <w:r>
        <w:rPr>
          <w:sz w:val="24"/>
        </w:rPr>
        <w:t xml:space="preserve">), который регистрируется в порядке, предусмотренном Инструкцией по делопроизводству в органах и организациях прокуратуры Российской Федерации.</w:t>
      </w:r>
    </w:p>
    <w:p>
      <w:pPr>
        <w:pStyle w:val="0"/>
        <w:spacing w:before="240" w:lineRule="auto"/>
        <w:ind w:firstLine="540"/>
        <w:jc w:val="both"/>
      </w:pPr>
      <w:r>
        <w:rPr>
          <w:sz w:val="24"/>
        </w:rPr>
        <w:t xml:space="preserve">К рапорту прилагаются следующие документы:</w:t>
      </w:r>
    </w:p>
    <w:p>
      <w:pPr>
        <w:pStyle w:val="0"/>
        <w:spacing w:before="240" w:lineRule="auto"/>
        <w:ind w:firstLine="540"/>
        <w:jc w:val="both"/>
      </w:pPr>
      <w:r>
        <w:rPr>
          <w:sz w:val="24"/>
        </w:rPr>
        <w:t xml:space="preserve">заявление о регистрации по месту жительства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внутренних дел (далее - заявление о регистрации по месту жительства, уполномоченный орган соответственно), на каждого из лиц, указанных в рапорте;</w:t>
      </w:r>
    </w:p>
    <w:p>
      <w:pPr>
        <w:pStyle w:val="0"/>
        <w:spacing w:before="240" w:lineRule="auto"/>
        <w:ind w:firstLine="540"/>
        <w:jc w:val="both"/>
      </w:pPr>
      <w:r>
        <w:rPr>
          <w:sz w:val="24"/>
        </w:rPr>
        <w:t xml:space="preserve">паспорта граждан Российской Федерации, удостоверяющих личности лиц, указанных в рапорте;</w:t>
      </w:r>
    </w:p>
    <w:p>
      <w:pPr>
        <w:pStyle w:val="0"/>
        <w:spacing w:before="240" w:lineRule="auto"/>
        <w:ind w:firstLine="540"/>
        <w:jc w:val="both"/>
      </w:pPr>
      <w:r>
        <w:rPr>
          <w:sz w:val="24"/>
        </w:rPr>
        <w:t xml:space="preserve">копия свидетельства о заключении брака (при наличии);</w:t>
      </w:r>
    </w:p>
    <w:p>
      <w:pPr>
        <w:pStyle w:val="0"/>
        <w:spacing w:before="240" w:lineRule="auto"/>
        <w:ind w:firstLine="540"/>
        <w:jc w:val="both"/>
      </w:pPr>
      <w:r>
        <w:rPr>
          <w:sz w:val="24"/>
        </w:rPr>
        <w:t xml:space="preserve">при наличии детей, не достигших 14-летнего возраста:</w:t>
      </w:r>
    </w:p>
    <w:p>
      <w:pPr>
        <w:pStyle w:val="0"/>
        <w:spacing w:before="240" w:lineRule="auto"/>
        <w:ind w:firstLine="540"/>
        <w:jc w:val="both"/>
      </w:pPr>
      <w:r>
        <w:rPr>
          <w:sz w:val="24"/>
        </w:rPr>
        <w:t xml:space="preserve">копии свидетельств о рождении;</w:t>
      </w:r>
    </w:p>
    <w:p>
      <w:pPr>
        <w:pStyle w:val="0"/>
        <w:spacing w:before="240" w:lineRule="auto"/>
        <w:ind w:firstLine="540"/>
        <w:jc w:val="both"/>
      </w:pPr>
      <w:r>
        <w:rPr>
          <w:sz w:val="24"/>
        </w:rPr>
        <w:t xml:space="preserve">копии свидетельств об усыновлении (удочерении) либо решения суда об усыновлении (удочерении) при наличии усыновленных (удочеренных) детей;</w:t>
      </w:r>
    </w:p>
    <w:p>
      <w:pPr>
        <w:pStyle w:val="0"/>
        <w:spacing w:before="240" w:lineRule="auto"/>
        <w:ind w:firstLine="540"/>
        <w:jc w:val="both"/>
      </w:pPr>
      <w:r>
        <w:rPr>
          <w:sz w:val="24"/>
        </w:rPr>
        <w:t xml:space="preserve">копии актов органов опеки и попечительства о назначении опекуном или попечителем (при наличии);</w:t>
      </w:r>
    </w:p>
    <w:p>
      <w:pPr>
        <w:pStyle w:val="0"/>
        <w:spacing w:before="240" w:lineRule="auto"/>
        <w:ind w:firstLine="540"/>
        <w:jc w:val="both"/>
      </w:pPr>
      <w:r>
        <w:rPr>
          <w:sz w:val="24"/>
        </w:rPr>
        <w:t xml:space="preserve">свидетельства о регистрации по месту жительства детей, не достигших 14-летнего возраста;</w:t>
      </w:r>
    </w:p>
    <w:p>
      <w:pPr>
        <w:pStyle w:val="0"/>
        <w:spacing w:before="240" w:lineRule="auto"/>
        <w:ind w:firstLine="540"/>
        <w:jc w:val="both"/>
      </w:pPr>
      <w:r>
        <w:rPr>
          <w:sz w:val="24"/>
        </w:rPr>
        <w:t xml:space="preserve">выписка из приказа по личному составу о назначении на должность;</w:t>
      </w:r>
    </w:p>
    <w:p>
      <w:pPr>
        <w:pStyle w:val="0"/>
        <w:spacing w:before="240" w:lineRule="auto"/>
        <w:ind w:firstLine="540"/>
        <w:jc w:val="both"/>
      </w:pPr>
      <w:r>
        <w:rPr>
          <w:sz w:val="24"/>
        </w:rPr>
        <w:t xml:space="preserve">копия контракта о прохождении военной службы;</w:t>
      </w:r>
    </w:p>
    <w:p>
      <w:pPr>
        <w:pStyle w:val="0"/>
        <w:spacing w:before="240" w:lineRule="auto"/>
        <w:ind w:firstLine="540"/>
        <w:jc w:val="both"/>
      </w:pPr>
      <w:r>
        <w:rPr>
          <w:sz w:val="24"/>
        </w:rPr>
        <w:t xml:space="preserve">справка, выданная кадровым органом, о прохождении военной службы и составе семьи;</w:t>
      </w:r>
    </w:p>
    <w:p>
      <w:pPr>
        <w:pStyle w:val="0"/>
        <w:spacing w:before="240" w:lineRule="auto"/>
        <w:ind w:firstLine="540"/>
        <w:jc w:val="both"/>
      </w:pPr>
      <w:r>
        <w:rPr>
          <w:sz w:val="24"/>
        </w:rPr>
        <w:t xml:space="preserve">копия справки о сдаче специализированного жилого помещения по прежнему месту прохождения военной службы (о необеспеченности специализированным жилым помещением).</w:t>
      </w:r>
    </w:p>
    <w:p>
      <w:pPr>
        <w:pStyle w:val="0"/>
        <w:spacing w:before="240" w:lineRule="auto"/>
        <w:ind w:firstLine="540"/>
        <w:jc w:val="both"/>
      </w:pPr>
      <w:r>
        <w:rPr>
          <w:sz w:val="24"/>
        </w:rPr>
        <w:t xml:space="preserve">По собственной инициативе военнослужащий вправе представить иные документы, имеющие значение для рассмотрения рапорта.</w:t>
      </w:r>
    </w:p>
    <w:p>
      <w:pPr>
        <w:pStyle w:val="0"/>
        <w:spacing w:before="240" w:lineRule="auto"/>
        <w:ind w:firstLine="540"/>
        <w:jc w:val="both"/>
      </w:pPr>
      <w:r>
        <w:rPr>
          <w:sz w:val="24"/>
        </w:rPr>
        <w:t xml:space="preserve">Копии представляемых документов заверяются в установленном порядке или нотариально.</w:t>
      </w:r>
    </w:p>
    <w:bookmarkStart w:id="72" w:name="P72"/>
    <w:bookmarkEnd w:id="72"/>
    <w:p>
      <w:pPr>
        <w:pStyle w:val="0"/>
        <w:spacing w:before="240" w:lineRule="auto"/>
        <w:ind w:firstLine="540"/>
        <w:jc w:val="both"/>
      </w:pPr>
      <w:r>
        <w:rPr>
          <w:sz w:val="24"/>
        </w:rPr>
        <w:t xml:space="preserve">2.2. Документы, указанные в </w:t>
      </w:r>
      <w:hyperlink w:history="0" w:anchor="P56" w:tooltip="2.1. В соответствии со статьей 6 Закона Российской Федерации от 25 июня 1993 г. N 5242-1 &quot;О праве граждан Российской Федерации на свободу передвижения, выбор места пребывания и жительства в пределах Российской Федерации&quot; при наличии оснований, предусмотренных пунктом 4 статьи 6 Федерального закона N 76-ФЗ, военнослужащий в срок не позднее семи дней со дня прибытия к месту прохождения военной службы подает на имя руководителя органа военной прокуратуры рапорт о регистрации по месту жительства его и (или) ...">
        <w:r>
          <w:rPr>
            <w:sz w:val="24"/>
            <w:color w:val="0000ff"/>
          </w:rPr>
          <w:t xml:space="preserve">пункте 2.1</w:t>
        </w:r>
      </w:hyperlink>
      <w:r>
        <w:rPr>
          <w:sz w:val="24"/>
        </w:rPr>
        <w:t xml:space="preserve"> Порядка, передаются военнослужащим ответственному должностному лицу для дальнейшей реализации.</w:t>
      </w:r>
    </w:p>
    <w:p>
      <w:pPr>
        <w:pStyle w:val="0"/>
        <w:spacing w:before="240" w:lineRule="auto"/>
        <w:ind w:firstLine="540"/>
        <w:jc w:val="both"/>
      </w:pPr>
      <w:r>
        <w:rPr>
          <w:sz w:val="24"/>
        </w:rPr>
        <w:t xml:space="preserve">Ответственное должностное лицо в день обращения военнослужащего:</w:t>
      </w:r>
    </w:p>
    <w:p>
      <w:pPr>
        <w:pStyle w:val="0"/>
        <w:spacing w:before="240" w:lineRule="auto"/>
        <w:ind w:firstLine="540"/>
        <w:jc w:val="both"/>
      </w:pPr>
      <w:r>
        <w:rPr>
          <w:sz w:val="24"/>
        </w:rPr>
        <w:t xml:space="preserve">проверяет комплектность представленных документов, правильность оформления рапорта и заявления о регистрации по месту жительства;</w:t>
      </w:r>
    </w:p>
    <w:p>
      <w:pPr>
        <w:pStyle w:val="0"/>
        <w:spacing w:before="240" w:lineRule="auto"/>
        <w:ind w:firstLine="540"/>
        <w:jc w:val="both"/>
      </w:pPr>
      <w:r>
        <w:rPr>
          <w:sz w:val="24"/>
        </w:rPr>
        <w:t xml:space="preserve">вносит соответствующие записи в журнал учета;</w:t>
      </w:r>
    </w:p>
    <w:p>
      <w:pPr>
        <w:pStyle w:val="0"/>
        <w:spacing w:before="240" w:lineRule="auto"/>
        <w:ind w:firstLine="540"/>
        <w:jc w:val="both"/>
      </w:pPr>
      <w:r>
        <w:rPr>
          <w:sz w:val="24"/>
        </w:rPr>
        <w:t xml:space="preserve">выдает по желанию военнослужащего расписку о приеме документов на срок оформления регистрации по месту жительства;</w:t>
      </w:r>
    </w:p>
    <w:p>
      <w:pPr>
        <w:pStyle w:val="0"/>
        <w:spacing w:before="240" w:lineRule="auto"/>
        <w:ind w:firstLine="540"/>
        <w:jc w:val="both"/>
      </w:pPr>
      <w:r>
        <w:rPr>
          <w:sz w:val="24"/>
        </w:rPr>
        <w:t xml:space="preserve">приостанавливает рассмотрение рапорта с одновременным уведомлением военнослужащего письменно под роспись или иным способом с предложением восполнить недостающие документы либо устранить выявленные недостатки в случаях:</w:t>
      </w:r>
    </w:p>
    <w:p>
      <w:pPr>
        <w:pStyle w:val="0"/>
        <w:spacing w:before="240" w:lineRule="auto"/>
        <w:ind w:firstLine="540"/>
        <w:jc w:val="both"/>
      </w:pPr>
      <w:r>
        <w:rPr>
          <w:sz w:val="24"/>
        </w:rPr>
        <w:t xml:space="preserve">несоответствия представленного заявления форме, установленной уполномоченным органом;</w:t>
      </w:r>
    </w:p>
    <w:p>
      <w:pPr>
        <w:pStyle w:val="0"/>
        <w:spacing w:before="240" w:lineRule="auto"/>
        <w:ind w:firstLine="540"/>
        <w:jc w:val="both"/>
      </w:pPr>
      <w:r>
        <w:rPr>
          <w:sz w:val="24"/>
        </w:rPr>
        <w:t xml:space="preserve">наличия в заявлении о регистрации по месту жительства и иных представленных документах ошибок либо неразборчивых записей;</w:t>
      </w:r>
    </w:p>
    <w:p>
      <w:pPr>
        <w:pStyle w:val="0"/>
        <w:spacing w:before="240" w:lineRule="auto"/>
        <w:ind w:firstLine="540"/>
        <w:jc w:val="both"/>
      </w:pPr>
      <w:r>
        <w:rPr>
          <w:sz w:val="24"/>
        </w:rPr>
        <w:t xml:space="preserve">представления не заверенных в предусмотренном порядке копий документов, указанных в </w:t>
      </w:r>
      <w:hyperlink w:history="0" w:anchor="P56" w:tooltip="2.1. В соответствии со статьей 6 Закона Российской Федерации от 25 июня 1993 г. N 5242-1 &quot;О праве граждан Российской Федерации на свободу передвижения, выбор места пребывания и жительства в пределах Российской Федерации&quot; при наличии оснований, предусмотренных пунктом 4 статьи 6 Федерального закона N 76-ФЗ, военнослужащий в срок не позднее семи дней со дня прибытия к месту прохождения военной службы подает на имя руководителя органа военной прокуратуры рапорт о регистрации по месту жительства его и (или) ...">
        <w:r>
          <w:rPr>
            <w:sz w:val="24"/>
            <w:color w:val="0000ff"/>
          </w:rPr>
          <w:t xml:space="preserve">пункте 2.1</w:t>
        </w:r>
      </w:hyperlink>
      <w:r>
        <w:rPr>
          <w:sz w:val="24"/>
        </w:rPr>
        <w:t xml:space="preserve"> Порядка;</w:t>
      </w:r>
    </w:p>
    <w:p>
      <w:pPr>
        <w:pStyle w:val="0"/>
        <w:spacing w:before="240" w:lineRule="auto"/>
        <w:ind w:firstLine="540"/>
        <w:jc w:val="both"/>
      </w:pPr>
      <w:r>
        <w:rPr>
          <w:sz w:val="24"/>
        </w:rPr>
        <w:t xml:space="preserve">запрашивает в органе, осуществляющем государственную регистрацию прав на недвижимое имущество и сделок с ним, выписку из Единого государственного реестра недвижимости о правах военнослужащего и членов его семьи на имеющиеся объекты недвижимости, расположенные по месту прохождения военной службы.</w:t>
      </w:r>
    </w:p>
    <w:p>
      <w:pPr>
        <w:pStyle w:val="0"/>
        <w:spacing w:before="240" w:lineRule="auto"/>
        <w:ind w:firstLine="540"/>
        <w:jc w:val="both"/>
      </w:pPr>
      <w:r>
        <w:rPr>
          <w:sz w:val="24"/>
        </w:rPr>
        <w:t xml:space="preserve">Для военнослужащих, место службы которых расположено на территории г. Москвы и г. Санкт-Петербурга, Московской, Ленинградской областей, г. Севастополя и Республики Крым, дополнительно запрашиваются сведения из Единого государственного реестра недвижимости о правах на имеющиеся объекты недвижимости, расположенные в субъекте Российской Федерации, близлежащем к месту прохождения военной службы, а именно на территории:</w:t>
      </w:r>
    </w:p>
    <w:p>
      <w:pPr>
        <w:pStyle w:val="0"/>
        <w:spacing w:before="240" w:lineRule="auto"/>
        <w:ind w:firstLine="540"/>
        <w:jc w:val="both"/>
      </w:pPr>
      <w:r>
        <w:rPr>
          <w:sz w:val="24"/>
        </w:rPr>
        <w:t xml:space="preserve">Московской области - для военнослужащих, место службы которых расположено в г. Москве;</w:t>
      </w:r>
    </w:p>
    <w:p>
      <w:pPr>
        <w:pStyle w:val="0"/>
        <w:spacing w:before="240" w:lineRule="auto"/>
        <w:ind w:firstLine="540"/>
        <w:jc w:val="both"/>
      </w:pPr>
      <w:r>
        <w:rPr>
          <w:sz w:val="24"/>
        </w:rPr>
        <w:t xml:space="preserve">г. Москвы, если местом службы военнослужащих являются военные прокуратуры, расположенные в Московской области;</w:t>
      </w:r>
    </w:p>
    <w:p>
      <w:pPr>
        <w:pStyle w:val="0"/>
        <w:spacing w:before="240" w:lineRule="auto"/>
        <w:ind w:firstLine="540"/>
        <w:jc w:val="both"/>
      </w:pPr>
      <w:r>
        <w:rPr>
          <w:sz w:val="24"/>
        </w:rPr>
        <w:t xml:space="preserve">Ленинградской области, если местом службы военнослужащих является г. Санкт-Петербург;</w:t>
      </w:r>
    </w:p>
    <w:p>
      <w:pPr>
        <w:pStyle w:val="0"/>
        <w:spacing w:before="240" w:lineRule="auto"/>
        <w:ind w:firstLine="540"/>
        <w:jc w:val="both"/>
      </w:pPr>
      <w:r>
        <w:rPr>
          <w:sz w:val="24"/>
        </w:rPr>
        <w:t xml:space="preserve">г. Санкт-Петербурга, если место службы военнослужащих дислоцировано в Ленинградской области;</w:t>
      </w:r>
    </w:p>
    <w:p>
      <w:pPr>
        <w:pStyle w:val="0"/>
        <w:spacing w:before="240" w:lineRule="auto"/>
        <w:ind w:firstLine="540"/>
        <w:jc w:val="both"/>
      </w:pPr>
      <w:r>
        <w:rPr>
          <w:sz w:val="24"/>
        </w:rPr>
        <w:t xml:space="preserve">г. Севастополя, если местом службы военнослужащих является Республика Крым;</w:t>
      </w:r>
    </w:p>
    <w:p>
      <w:pPr>
        <w:pStyle w:val="0"/>
        <w:spacing w:before="240" w:lineRule="auto"/>
        <w:ind w:firstLine="540"/>
        <w:jc w:val="both"/>
      </w:pPr>
      <w:r>
        <w:rPr>
          <w:sz w:val="24"/>
        </w:rPr>
        <w:t xml:space="preserve">Республики Крым, если место службы военнослужащих дислоцировано в г. Севастополе.</w:t>
      </w:r>
    </w:p>
    <w:p>
      <w:pPr>
        <w:pStyle w:val="0"/>
        <w:spacing w:before="240" w:lineRule="auto"/>
        <w:ind w:firstLine="540"/>
        <w:jc w:val="both"/>
      </w:pPr>
      <w:r>
        <w:rPr>
          <w:sz w:val="24"/>
        </w:rPr>
        <w:t xml:space="preserve">2.3. Основанием для принятия решения об отсутствии права на регистрацию по месту жительства является наличие в пользовании у военнослужащего и (или) членов его семьи жилого помещения по договору социального найма, служебного жилого помещения, общежития либо принадлежащего на праве собственности (доли в праве общей долевой собственности), расположенного в населенном пункте по месту прохождения военной службы или близлежащих населенных пунктах.</w:t>
      </w:r>
    </w:p>
    <w:p>
      <w:pPr>
        <w:pStyle w:val="0"/>
        <w:spacing w:before="240" w:lineRule="auto"/>
        <w:ind w:firstLine="540"/>
        <w:jc w:val="both"/>
      </w:pPr>
      <w:r>
        <w:rPr>
          <w:sz w:val="24"/>
        </w:rPr>
        <w:t xml:space="preserve">В целях определения критериев удаленности к близлежащим населенным пунктам относятся населенные пункты, имеющие общие территориальные границы с населенным пунктом дислокации (нахождения) военной прокуратуры, где проходит службу военнослужащий, или проживание в которых обеспечивает возможность ежедневного прибытия военнослужащего на службу и убытия с нее в сроки, предусмотренные регламентом служебного времени.</w:t>
      </w:r>
    </w:p>
    <w:p>
      <w:pPr>
        <w:pStyle w:val="0"/>
        <w:spacing w:before="240" w:lineRule="auto"/>
        <w:ind w:firstLine="540"/>
        <w:jc w:val="both"/>
      </w:pPr>
      <w:r>
        <w:rPr>
          <w:sz w:val="24"/>
        </w:rPr>
        <w:t xml:space="preserve">2.4. По результатам рассмотрения документов, указанных в </w:t>
      </w:r>
      <w:hyperlink w:history="0" w:anchor="P56" w:tooltip="2.1. В соответствии со статьей 6 Закона Российской Федерации от 25 июня 1993 г. N 5242-1 &quot;О праве граждан Российской Федерации на свободу передвижения, выбор места пребывания и жительства в пределах Российской Федерации&quot; при наличии оснований, предусмотренных пунктом 4 статьи 6 Федерального закона N 76-ФЗ, военнослужащий в срок не позднее семи дней со дня прибытия к месту прохождения военной службы подает на имя руководителя органа военной прокуратуры рапорт о регистрации по месту жительства его и (или) ...">
        <w:r>
          <w:rPr>
            <w:sz w:val="24"/>
            <w:color w:val="0000ff"/>
          </w:rPr>
          <w:t xml:space="preserve">пунктах 2.1</w:t>
        </w:r>
      </w:hyperlink>
      <w:r>
        <w:rPr>
          <w:sz w:val="24"/>
        </w:rPr>
        <w:t xml:space="preserve"> - </w:t>
      </w:r>
      <w:hyperlink w:history="0" w:anchor="P72" w:tooltip="2.2. Документы, указанные в пункте 2.1 Порядка, передаются военнослужащим ответственному должностному лицу для дальнейшей реализации.">
        <w:r>
          <w:rPr>
            <w:sz w:val="24"/>
            <w:color w:val="0000ff"/>
          </w:rPr>
          <w:t xml:space="preserve">2.2</w:t>
        </w:r>
      </w:hyperlink>
      <w:r>
        <w:rPr>
          <w:sz w:val="24"/>
        </w:rPr>
        <w:t xml:space="preserve"> Порядка, ответственное должностное лицо ставит на рапорте соответствующую отметку ("Подлежит регистрации по месту жительства" либо "Оснований для регистрации по месту жительства не имеется") и представляет на подпись руководителю органа военной прокуратуры (уполномоченному должностному лицу):</w:t>
      </w:r>
    </w:p>
    <w:p>
      <w:pPr>
        <w:pStyle w:val="0"/>
        <w:spacing w:before="240" w:lineRule="auto"/>
        <w:ind w:firstLine="540"/>
        <w:jc w:val="both"/>
      </w:pPr>
      <w:r>
        <w:rPr>
          <w:sz w:val="24"/>
        </w:rPr>
        <w:t xml:space="preserve">при наличии права - ходатайство в орган регистрационного учета и заявления о регистрации по месту жительства, оформленные на каждого из лиц, указанных в ходатайстве;</w:t>
      </w:r>
    </w:p>
    <w:p>
      <w:pPr>
        <w:pStyle w:val="0"/>
        <w:spacing w:before="240" w:lineRule="auto"/>
        <w:ind w:firstLine="540"/>
        <w:jc w:val="both"/>
      </w:pPr>
      <w:r>
        <w:rPr>
          <w:sz w:val="24"/>
        </w:rPr>
        <w:t xml:space="preserve">при отсутствии права - проект ответа с уведомлением об отказе военнослужащему и (или) членам его семьи в регистрации по месту жительства.</w:t>
      </w:r>
    </w:p>
    <w:p>
      <w:pPr>
        <w:pStyle w:val="0"/>
        <w:spacing w:before="240" w:lineRule="auto"/>
        <w:ind w:firstLine="540"/>
        <w:jc w:val="both"/>
      </w:pPr>
      <w:r>
        <w:rPr>
          <w:sz w:val="24"/>
        </w:rPr>
        <w:t xml:space="preserve">2.5. В срок не позднее рабочего дня с даты поступления ответственному должностному лицу полного комплекта документов, предусмотренных </w:t>
      </w:r>
      <w:hyperlink w:history="0" w:anchor="P56" w:tooltip="2.1. В соответствии со статьей 6 Закона Российской Федерации от 25 июня 1993 г. N 5242-1 &quot;О праве граждан Российской Федерации на свободу передвижения, выбор места пребывания и жительства в пределах Российской Федерации&quot; при наличии оснований, предусмотренных пунктом 4 статьи 6 Федерального закона N 76-ФЗ, военнослужащий в срок не позднее семи дней со дня прибытия к месту прохождения военной службы подает на имя руководителя органа военной прокуратуры рапорт о регистрации по месту жительства его и (или) ...">
        <w:r>
          <w:rPr>
            <w:sz w:val="24"/>
            <w:color w:val="0000ff"/>
          </w:rPr>
          <w:t xml:space="preserve">пунктом 2.1</w:t>
        </w:r>
      </w:hyperlink>
      <w:r>
        <w:rPr>
          <w:sz w:val="24"/>
        </w:rPr>
        <w:t xml:space="preserve"> Порядка, должностное лицо осуществляет передачу ходатайства и необходимых документов в орган регистрационного учета.</w:t>
      </w:r>
    </w:p>
    <w:p>
      <w:pPr>
        <w:pStyle w:val="0"/>
        <w:spacing w:before="240" w:lineRule="auto"/>
        <w:ind w:firstLine="540"/>
        <w:jc w:val="both"/>
      </w:pPr>
      <w:r>
        <w:rPr>
          <w:sz w:val="24"/>
        </w:rPr>
        <w:t xml:space="preserve">2.6. Ответственное должностное лицо выдает военнослужащему в срок не позднее дня, следующего за днем получения документов в органе регистрационного учета, паспорта с отметками о регистрации по месту жительства, свидетельства о регистрации по месту жительства (при наличии детей, не достигших 14-летнего возраста) и вносит в журнал учета соответствующие записи. В случае временного отсутствия военнослужащего по месту службы указанные документы выдаются ему незамедлительно по прибытии на службу.</w:t>
      </w:r>
    </w:p>
    <w:p>
      <w:pPr>
        <w:pStyle w:val="0"/>
        <w:spacing w:before="240" w:lineRule="auto"/>
        <w:ind w:firstLine="540"/>
        <w:jc w:val="both"/>
      </w:pPr>
      <w:r>
        <w:rPr>
          <w:sz w:val="24"/>
        </w:rPr>
        <w:t xml:space="preserve">Если руководителем органа военной прокуратуры (уполномоченным должностным лицом) принято решение об отсутствии у военнослужащего и (или) членов его семьи права на регистрацию по месту жительства, ответственное должностное лицо возвращает военнослужащему документы, приложенные им к рапорту в срок не позднее дня, следующего за днем принятия руководителем органа военной прокуратуры (уполномоченным должностным лицом) решения.</w:t>
      </w:r>
    </w:p>
    <w:p>
      <w:pPr>
        <w:pStyle w:val="0"/>
        <w:spacing w:before="240" w:lineRule="auto"/>
        <w:ind w:firstLine="540"/>
        <w:jc w:val="both"/>
      </w:pPr>
      <w:r>
        <w:rPr>
          <w:sz w:val="24"/>
        </w:rPr>
        <w:t xml:space="preserve">2.7. Военнослужащий обязан уведомить ответственное должностное лицо и представить подтверждающие документы в течение 10 рабочих дней в случаях самостоятельного обращения в органы регистрационного учета или многофункциональные центры предоставления государственных и муниципальных услуг в связи:</w:t>
      </w:r>
    </w:p>
    <w:p>
      <w:pPr>
        <w:pStyle w:val="0"/>
        <w:spacing w:before="240" w:lineRule="auto"/>
        <w:ind w:firstLine="540"/>
        <w:jc w:val="both"/>
      </w:pPr>
      <w:r>
        <w:rPr>
          <w:sz w:val="24"/>
        </w:rPr>
        <w:t xml:space="preserve">со снятием с регистрационного учета по адресу органа военной прокуратуры (в том числе членов его семьи);</w:t>
      </w:r>
    </w:p>
    <w:p>
      <w:pPr>
        <w:pStyle w:val="0"/>
        <w:spacing w:before="240" w:lineRule="auto"/>
        <w:ind w:firstLine="540"/>
        <w:jc w:val="both"/>
      </w:pPr>
      <w:r>
        <w:rPr>
          <w:sz w:val="24"/>
        </w:rPr>
        <w:t xml:space="preserve">с регистрацией по месту жительства по адресу органа военной прокуратуры несовершеннолетнего ребенка.</w:t>
      </w:r>
    </w:p>
    <w:p>
      <w:pPr>
        <w:pStyle w:val="0"/>
        <w:spacing w:before="240" w:lineRule="auto"/>
        <w:ind w:firstLine="540"/>
        <w:jc w:val="both"/>
      </w:pPr>
      <w:r>
        <w:rPr>
          <w:sz w:val="24"/>
        </w:rPr>
        <w:t xml:space="preserve">Не позднее двух рабочих дней с даты обращения военнослужащего соответствующие записи вносятся ответственным должностным лицом в журнал учета.</w:t>
      </w:r>
    </w:p>
    <w:p>
      <w:pPr>
        <w:pStyle w:val="0"/>
        <w:spacing w:before="240" w:lineRule="auto"/>
        <w:ind w:firstLine="540"/>
        <w:jc w:val="both"/>
      </w:pPr>
      <w:r>
        <w:rPr>
          <w:sz w:val="24"/>
        </w:rPr>
        <w:t xml:space="preserve">2.8. В случаях прохождения военной службы на прокурорских участках (отделах) с местом дислокации в другом населенном пункте, на территории воинских частей (организаций, учреждений), закрытых административных территориальных образований, а также закрытых военных городков военнослужащие могут регистрироваться по месту жительства по адресам воинских частей, организаций, учреждений или иных органов военной прокуратуры, которые располагаются в населенных пунктах по месту прохождения ими военной службы или в близлежащих населенных пунктах.</w:t>
      </w:r>
    </w:p>
    <w:p>
      <w:pPr>
        <w:pStyle w:val="0"/>
        <w:jc w:val="both"/>
      </w:pPr>
      <w:r>
        <w:rPr>
          <w:sz w:val="24"/>
        </w:rPr>
      </w:r>
    </w:p>
    <w:p>
      <w:pPr>
        <w:pStyle w:val="2"/>
        <w:outlineLvl w:val="1"/>
        <w:jc w:val="center"/>
      </w:pPr>
      <w:r>
        <w:rPr>
          <w:sz w:val="24"/>
        </w:rPr>
        <w:t xml:space="preserve">3. Организация деятельности по снятию военнослужащих</w:t>
      </w:r>
    </w:p>
    <w:p>
      <w:pPr>
        <w:pStyle w:val="2"/>
        <w:jc w:val="center"/>
      </w:pPr>
      <w:r>
        <w:rPr>
          <w:sz w:val="24"/>
        </w:rPr>
        <w:t xml:space="preserve">и членов их семей с регистрационного учета по месту</w:t>
      </w:r>
    </w:p>
    <w:p>
      <w:pPr>
        <w:pStyle w:val="2"/>
        <w:jc w:val="center"/>
      </w:pPr>
      <w:r>
        <w:rPr>
          <w:sz w:val="24"/>
        </w:rPr>
        <w:t xml:space="preserve">жительства по адресам военных прокуратур</w:t>
      </w:r>
    </w:p>
    <w:p>
      <w:pPr>
        <w:pStyle w:val="0"/>
        <w:jc w:val="both"/>
      </w:pPr>
      <w:r>
        <w:rPr>
          <w:sz w:val="24"/>
        </w:rPr>
      </w:r>
    </w:p>
    <w:p>
      <w:pPr>
        <w:pStyle w:val="0"/>
        <w:ind w:firstLine="540"/>
        <w:jc w:val="both"/>
      </w:pPr>
      <w:r>
        <w:rPr>
          <w:sz w:val="24"/>
        </w:rPr>
        <w:t xml:space="preserve">3.1. Снятие военнослужащего и членов его семьи с регистрационного учета по месту жительства по адресу органа военной прокуратуры производится органами регистрационного учета по основаниям, установленным </w:t>
      </w:r>
      <w:hyperlink w:history="0" r:id="rId15" w:tooltip="Постановление Правительства РФ от 17.07.1995 N 713 (ред. от 27.10.2025)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Правилами</w:t>
        </w:r>
      </w:hyperlink>
      <w:r>
        <w:rPr>
          <w:sz w:val="24"/>
        </w:rPr>
        <w:t xml:space="preserve">, утвержденными постановлением Правительства Российской Федерации от 17 июля 1995 г. N 713, а также по заявлению руководителя органа военной прокуратуры (уполномоченного должностного лица) в случаях, предусмотренных </w:t>
      </w:r>
      <w:hyperlink w:history="0" r:id="rId16" w:tooltip="Федеральный закон от 27.05.1998 N 76-ФЗ (ред. от 07.07.2025) &quot;О статусе военнослужащих&quot; {КонсультантПлюс}">
        <w:r>
          <w:rPr>
            <w:sz w:val="24"/>
            <w:color w:val="0000ff"/>
          </w:rPr>
          <w:t xml:space="preserve">абзацами вторым</w:t>
        </w:r>
      </w:hyperlink>
      <w:r>
        <w:rPr>
          <w:sz w:val="24"/>
        </w:rPr>
        <w:t xml:space="preserve"> - </w:t>
      </w:r>
      <w:hyperlink w:history="0" r:id="rId17" w:tooltip="Федеральный закон от 27.05.1998 N 76-ФЗ (ред. от 07.07.2025) &quot;О статусе военнослужащих&quot; {КонсультантПлюс}">
        <w:r>
          <w:rPr>
            <w:sz w:val="24"/>
            <w:color w:val="0000ff"/>
          </w:rPr>
          <w:t xml:space="preserve">одиннадцатым пункта 5 статьи 6</w:t>
        </w:r>
      </w:hyperlink>
      <w:r>
        <w:rPr>
          <w:sz w:val="24"/>
        </w:rPr>
        <w:t xml:space="preserve"> Федерального закона N 76-ФЗ.</w:t>
      </w:r>
    </w:p>
    <w:p>
      <w:pPr>
        <w:pStyle w:val="0"/>
        <w:spacing w:before="240" w:lineRule="auto"/>
        <w:ind w:firstLine="540"/>
        <w:jc w:val="both"/>
      </w:pPr>
      <w:r>
        <w:rPr>
          <w:sz w:val="24"/>
        </w:rPr>
        <w:t xml:space="preserve">3.2. В целях подтверждения правомерности нахождения на регистрационном учете ответственные должностные лица ежегодно до 1 декабря запрашивают в органах, осуществляющих государственную регистрацию прав на недвижимое имущество и сделок с ним, выписки из Единого государственного реестра недвижимости о правах военнослужащих и членов их семей на имеющиеся объекты недвижимости, расположенные по месту прохождения военной службы или в близлежащем населенном пункте.</w:t>
      </w:r>
    </w:p>
    <w:p>
      <w:pPr>
        <w:pStyle w:val="0"/>
        <w:spacing w:before="240" w:lineRule="auto"/>
        <w:ind w:firstLine="540"/>
        <w:jc w:val="both"/>
      </w:pPr>
      <w:r>
        <w:rPr>
          <w:sz w:val="24"/>
        </w:rPr>
        <w:t xml:space="preserve">3.3. В течение 10 рабочих дней с даты принятия жилищной комиссией решения о снятии военнослужащего (гражданина, уволенного с военной службы) и (или) членов его семьи с учета нуждающихся в жилых помещениях копия решения передается секретарем жилищной комиссии ответственному должностному лицу (направляется в военную прокуратуру по месту прохождения военной службы или последнему месту прохождения военной службы гражданина, уволенного с военной службы) для организации работы по снятию их с регистрационного учета.</w:t>
      </w:r>
    </w:p>
    <w:p>
      <w:pPr>
        <w:pStyle w:val="0"/>
        <w:spacing w:before="240" w:lineRule="auto"/>
        <w:ind w:firstLine="540"/>
        <w:jc w:val="both"/>
      </w:pPr>
      <w:r>
        <w:rPr>
          <w:sz w:val="24"/>
        </w:rPr>
        <w:t xml:space="preserve">3.4. В течение 10 рабочих дней с даты поступления копии решения о снятии с учета или установления случаев, предусмотренных </w:t>
      </w:r>
      <w:hyperlink w:history="0" r:id="rId18" w:tooltip="Федеральный закон от 27.05.1998 N 76-ФЗ (ред. от 07.07.2025) &quot;О статусе военнослужащих&quot; {КонсультантПлюс}">
        <w:r>
          <w:rPr>
            <w:sz w:val="24"/>
            <w:color w:val="0000ff"/>
          </w:rPr>
          <w:t xml:space="preserve">пунктами 5</w:t>
        </w:r>
      </w:hyperlink>
      <w:r>
        <w:rPr>
          <w:sz w:val="24"/>
        </w:rPr>
        <w:t xml:space="preserve"> и </w:t>
      </w:r>
      <w:hyperlink w:history="0" r:id="rId19" w:tooltip="Федеральный закон от 27.05.1998 N 76-ФЗ (ред. от 07.07.2025) &quot;О статусе военнослужащих&quot; {КонсультантПлюс}">
        <w:r>
          <w:rPr>
            <w:sz w:val="24"/>
            <w:color w:val="0000ff"/>
          </w:rPr>
          <w:t xml:space="preserve">6 статьи 6</w:t>
        </w:r>
      </w:hyperlink>
      <w:r>
        <w:rPr>
          <w:sz w:val="24"/>
        </w:rPr>
        <w:t xml:space="preserve"> Федерального закона N 76-ФЗ, ответственное должностное лицо представляет на подпись руководителю органа военной прокуратуры (уполномоченному должностному лицу):</w:t>
      </w:r>
    </w:p>
    <w:p>
      <w:pPr>
        <w:pStyle w:val="0"/>
        <w:spacing w:before="240" w:lineRule="auto"/>
        <w:ind w:firstLine="540"/>
        <w:jc w:val="both"/>
      </w:pPr>
      <w:r>
        <w:rPr>
          <w:sz w:val="24"/>
        </w:rPr>
        <w:t xml:space="preserve">ходатайство в органы регистрационного учета о снятии военнослужащих (граждан, уволенных с военной службы) и (или) членов их семей (в том числе бывших членов семей) с регистрационного учета по месту жительства;</w:t>
      </w:r>
    </w:p>
    <w:p>
      <w:pPr>
        <w:pStyle w:val="0"/>
        <w:spacing w:before="240" w:lineRule="auto"/>
        <w:ind w:firstLine="540"/>
        <w:jc w:val="both"/>
      </w:pPr>
      <w:r>
        <w:rPr>
          <w:sz w:val="24"/>
        </w:rPr>
        <w:t xml:space="preserve">заявления о снятии с регистрационного учета по месту жительства по форме, утвержденной уполномоченным органом, оформленные на каждого из лиц, указанных в ходатайстве.</w:t>
      </w:r>
    </w:p>
    <w:p>
      <w:pPr>
        <w:pStyle w:val="0"/>
        <w:spacing w:before="240" w:lineRule="auto"/>
        <w:ind w:firstLine="540"/>
        <w:jc w:val="both"/>
      </w:pPr>
      <w:r>
        <w:rPr>
          <w:sz w:val="24"/>
        </w:rPr>
        <w:t xml:space="preserve">После их подписания в течение двух рабочих дней ответственное должностное лицо осуществляет передачу ходатайства и необходимых документов в орган регистрационного учета.</w:t>
      </w:r>
    </w:p>
    <w:p>
      <w:pPr>
        <w:pStyle w:val="0"/>
        <w:spacing w:before="240" w:lineRule="auto"/>
        <w:ind w:firstLine="540"/>
        <w:jc w:val="both"/>
      </w:pPr>
      <w:r>
        <w:rPr>
          <w:sz w:val="24"/>
        </w:rPr>
        <w:t xml:space="preserve">3.5. Не позднее двух рабочих дней, следующих за днем получения в органах регистрационного учета документа, подтверждающего факт прекращения регистрации по месту жительства военнослужащего (гражданина, уволенного с военной службы) и (или) члена его семьи (в том числе бывшего члена семьи), ответственным должностным лицом в журнал учета вносятся соответствующие записи.</w:t>
      </w:r>
    </w:p>
    <w:p>
      <w:pPr>
        <w:pStyle w:val="0"/>
        <w:spacing w:before="240" w:lineRule="auto"/>
        <w:ind w:firstLine="540"/>
        <w:jc w:val="both"/>
      </w:pPr>
      <w:r>
        <w:rPr>
          <w:sz w:val="24"/>
        </w:rPr>
        <w:t xml:space="preserve">Уведомление о снятии с регистрационного учета по адресу органа военной прокуратуры направляется военнослужащему (гражданину, уволенному с военной службы) и (или) членам его семьи (в том числе бывшим членам семьи) по адресу последнего известного места их фактического проживания.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w:t>
      </w:r>
      <w:hyperlink w:history="0" w:anchor="P43" w:tooltip="1.3. На ответственных должностных лиц возлагаются обязанности:">
        <w:r>
          <w:rPr>
            <w:sz w:val="24"/>
            <w:color w:val="0000ff"/>
          </w:rPr>
          <w:t xml:space="preserve">пункту 1.3</w:t>
        </w:r>
      </w:hyperlink>
      <w:r>
        <w:rPr>
          <w:sz w:val="24"/>
        </w:rPr>
        <w:t xml:space="preserve">)</w:t>
      </w:r>
    </w:p>
    <w:p>
      <w:pPr>
        <w:pStyle w:val="0"/>
        <w:jc w:val="both"/>
      </w:pPr>
      <w:r>
        <w:rPr>
          <w:sz w:val="24"/>
        </w:rPr>
      </w:r>
    </w:p>
    <w:bookmarkStart w:id="124" w:name="P124"/>
    <w:bookmarkEnd w:id="124"/>
    <w:p>
      <w:pPr>
        <w:pStyle w:val="1"/>
        <w:jc w:val="both"/>
      </w:pPr>
      <w:r>
        <w:rPr>
          <w:sz w:val="20"/>
        </w:rPr>
        <w:t xml:space="preserve">                                  ЖУРНАЛ</w:t>
      </w:r>
    </w:p>
    <w:p>
      <w:pPr>
        <w:pStyle w:val="1"/>
        <w:jc w:val="both"/>
      </w:pPr>
      <w:r>
        <w:rPr>
          <w:sz w:val="20"/>
        </w:rPr>
        <w:t xml:space="preserve">       учета лиц, зарегистрированных органами регистрационного учета</w:t>
      </w:r>
    </w:p>
    <w:p>
      <w:pPr>
        <w:pStyle w:val="1"/>
        <w:jc w:val="both"/>
      </w:pPr>
      <w:r>
        <w:rPr>
          <w:sz w:val="20"/>
        </w:rPr>
        <w:t xml:space="preserve">       по месту жительства по адресу _______________________________</w:t>
      </w:r>
    </w:p>
    <w:p>
      <w:pPr>
        <w:pStyle w:val="1"/>
        <w:jc w:val="both"/>
      </w:pPr>
      <w:r>
        <w:rPr>
          <w:sz w:val="20"/>
        </w:rPr>
        <w:t xml:space="preserve">                                      (наименование органа военной</w:t>
      </w:r>
    </w:p>
    <w:p>
      <w:pPr>
        <w:pStyle w:val="1"/>
        <w:jc w:val="both"/>
      </w:pPr>
      <w:r>
        <w:rPr>
          <w:sz w:val="20"/>
        </w:rPr>
        <w:t xml:space="preserve">                                              прокуратуры)</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8"/>
        <w:gridCol w:w="1247"/>
        <w:gridCol w:w="1134"/>
        <w:gridCol w:w="1487"/>
        <w:gridCol w:w="3061"/>
        <w:gridCol w:w="1634"/>
        <w:gridCol w:w="1634"/>
        <w:gridCol w:w="1760"/>
        <w:gridCol w:w="1077"/>
      </w:tblGrid>
      <w:tr>
        <w:tc>
          <w:tcPr>
            <w:tcW w:w="558" w:type="dxa"/>
          </w:tcPr>
          <w:p>
            <w:pPr>
              <w:pStyle w:val="0"/>
              <w:jc w:val="center"/>
            </w:pPr>
            <w:r>
              <w:rPr>
                <w:sz w:val="24"/>
              </w:rPr>
              <w:t xml:space="preserve">N п/п</w:t>
            </w:r>
          </w:p>
        </w:tc>
        <w:tc>
          <w:tcPr>
            <w:tcW w:w="1247" w:type="dxa"/>
          </w:tcPr>
          <w:p>
            <w:pPr>
              <w:pStyle w:val="0"/>
              <w:jc w:val="center"/>
            </w:pPr>
            <w:r>
              <w:rPr>
                <w:sz w:val="24"/>
              </w:rPr>
              <w:t xml:space="preserve">Фамилия, имя, отчество (при наличии), степень родства с военнослужащим</w:t>
            </w:r>
          </w:p>
        </w:tc>
        <w:tc>
          <w:tcPr>
            <w:tcW w:w="1134" w:type="dxa"/>
          </w:tcPr>
          <w:p>
            <w:pPr>
              <w:pStyle w:val="0"/>
              <w:jc w:val="center"/>
            </w:pPr>
            <w:r>
              <w:rPr>
                <w:sz w:val="24"/>
              </w:rPr>
              <w:t xml:space="preserve">Число, месяц, год рождения, место рождения</w:t>
            </w:r>
          </w:p>
        </w:tc>
        <w:tc>
          <w:tcPr>
            <w:tcW w:w="1487" w:type="dxa"/>
          </w:tcPr>
          <w:p>
            <w:pPr>
              <w:pStyle w:val="0"/>
              <w:jc w:val="center"/>
            </w:pPr>
            <w:r>
              <w:rPr>
                <w:sz w:val="24"/>
              </w:rPr>
              <w:t xml:space="preserve">Когда и откуда прибыл (адрес прежней регистрации по месту жительства)</w:t>
            </w:r>
          </w:p>
        </w:tc>
        <w:tc>
          <w:tcPr>
            <w:tcW w:w="3061" w:type="dxa"/>
          </w:tcPr>
          <w:p>
            <w:pPr>
              <w:pStyle w:val="0"/>
              <w:jc w:val="center"/>
            </w:pPr>
            <w:r>
              <w:rPr>
                <w:sz w:val="24"/>
              </w:rPr>
              <w:t xml:space="preserve">Реквизиты документа, удостоверяющего личность (серия и номер паспорта, кем и когда выдан;</w:t>
            </w:r>
          </w:p>
          <w:p>
            <w:pPr>
              <w:pStyle w:val="0"/>
              <w:jc w:val="center"/>
            </w:pPr>
            <w:r>
              <w:rPr>
                <w:sz w:val="24"/>
              </w:rPr>
              <w:t xml:space="preserve">при наличии детей, не достигших 14-летнего возраста, - реквизиты свидетельства о рождении (усыновлении/удочерении)</w:t>
            </w:r>
          </w:p>
        </w:tc>
        <w:tc>
          <w:tcPr>
            <w:tcW w:w="1634" w:type="dxa"/>
          </w:tcPr>
          <w:p>
            <w:pPr>
              <w:pStyle w:val="0"/>
              <w:jc w:val="center"/>
            </w:pPr>
            <w:r>
              <w:rPr>
                <w:sz w:val="24"/>
              </w:rPr>
              <w:t xml:space="preserve">Реквизиты рапорта о регистрации по месту жительства (номер и дата регистрации)</w:t>
            </w:r>
          </w:p>
        </w:tc>
        <w:tc>
          <w:tcPr>
            <w:tcW w:w="1634" w:type="dxa"/>
          </w:tcPr>
          <w:p>
            <w:pPr>
              <w:pStyle w:val="0"/>
              <w:jc w:val="center"/>
            </w:pPr>
            <w:r>
              <w:rPr>
                <w:sz w:val="24"/>
              </w:rPr>
              <w:t xml:space="preserve">Дата регистрации по месту жительства органами регистрационного учета</w:t>
            </w:r>
          </w:p>
        </w:tc>
        <w:tc>
          <w:tcPr>
            <w:tcW w:w="1760" w:type="dxa"/>
          </w:tcPr>
          <w:p>
            <w:pPr>
              <w:pStyle w:val="0"/>
              <w:jc w:val="center"/>
            </w:pPr>
            <w:r>
              <w:rPr>
                <w:sz w:val="24"/>
              </w:rPr>
              <w:t xml:space="preserve">Дата прекращения регистрации по месту жительства органами регистрационного учета</w:t>
            </w:r>
          </w:p>
        </w:tc>
        <w:tc>
          <w:tcPr>
            <w:tcW w:w="1077" w:type="dxa"/>
          </w:tcPr>
          <w:p>
            <w:pPr>
              <w:pStyle w:val="0"/>
              <w:jc w:val="center"/>
            </w:pPr>
            <w:r>
              <w:rPr>
                <w:sz w:val="24"/>
              </w:rPr>
              <w:t xml:space="preserve">Основание снятия с регистрационного учета</w:t>
            </w:r>
          </w:p>
        </w:tc>
      </w:tr>
      <w:tr>
        <w:tc>
          <w:tcPr>
            <w:tcW w:w="558" w:type="dxa"/>
          </w:tcPr>
          <w:p>
            <w:pPr>
              <w:pStyle w:val="0"/>
              <w:jc w:val="center"/>
            </w:pPr>
            <w:r>
              <w:rPr>
                <w:sz w:val="24"/>
              </w:rPr>
              <w:t xml:space="preserve">1</w:t>
            </w:r>
          </w:p>
        </w:tc>
        <w:tc>
          <w:tcPr>
            <w:tcW w:w="1247" w:type="dxa"/>
          </w:tcPr>
          <w:p>
            <w:pPr>
              <w:pStyle w:val="0"/>
              <w:jc w:val="center"/>
            </w:pPr>
            <w:r>
              <w:rPr>
                <w:sz w:val="24"/>
              </w:rPr>
              <w:t xml:space="preserve">2</w:t>
            </w:r>
          </w:p>
        </w:tc>
        <w:tc>
          <w:tcPr>
            <w:tcW w:w="1134" w:type="dxa"/>
          </w:tcPr>
          <w:p>
            <w:pPr>
              <w:pStyle w:val="0"/>
              <w:jc w:val="center"/>
            </w:pPr>
            <w:r>
              <w:rPr>
                <w:sz w:val="24"/>
              </w:rPr>
              <w:t xml:space="preserve">3</w:t>
            </w:r>
          </w:p>
        </w:tc>
        <w:tc>
          <w:tcPr>
            <w:tcW w:w="1487" w:type="dxa"/>
          </w:tcPr>
          <w:p>
            <w:pPr>
              <w:pStyle w:val="0"/>
              <w:jc w:val="center"/>
            </w:pPr>
            <w:r>
              <w:rPr>
                <w:sz w:val="24"/>
              </w:rPr>
              <w:t xml:space="preserve">4</w:t>
            </w:r>
          </w:p>
        </w:tc>
        <w:tc>
          <w:tcPr>
            <w:tcW w:w="3061" w:type="dxa"/>
          </w:tcPr>
          <w:p>
            <w:pPr>
              <w:pStyle w:val="0"/>
              <w:jc w:val="center"/>
            </w:pPr>
            <w:r>
              <w:rPr>
                <w:sz w:val="24"/>
              </w:rPr>
              <w:t xml:space="preserve">5</w:t>
            </w:r>
          </w:p>
        </w:tc>
        <w:tc>
          <w:tcPr>
            <w:tcW w:w="1634" w:type="dxa"/>
          </w:tcPr>
          <w:p>
            <w:pPr>
              <w:pStyle w:val="0"/>
              <w:jc w:val="center"/>
            </w:pPr>
            <w:r>
              <w:rPr>
                <w:sz w:val="24"/>
              </w:rPr>
              <w:t xml:space="preserve">6</w:t>
            </w:r>
          </w:p>
        </w:tc>
        <w:tc>
          <w:tcPr>
            <w:tcW w:w="1634" w:type="dxa"/>
          </w:tcPr>
          <w:p>
            <w:pPr>
              <w:pStyle w:val="0"/>
              <w:jc w:val="center"/>
            </w:pPr>
            <w:r>
              <w:rPr>
                <w:sz w:val="24"/>
              </w:rPr>
              <w:t xml:space="preserve">7</w:t>
            </w:r>
          </w:p>
        </w:tc>
        <w:tc>
          <w:tcPr>
            <w:tcW w:w="1760" w:type="dxa"/>
          </w:tcPr>
          <w:p>
            <w:pPr>
              <w:pStyle w:val="0"/>
              <w:jc w:val="center"/>
            </w:pPr>
            <w:r>
              <w:rPr>
                <w:sz w:val="24"/>
              </w:rPr>
              <w:t xml:space="preserve">8</w:t>
            </w:r>
          </w:p>
        </w:tc>
        <w:tc>
          <w:tcPr>
            <w:tcW w:w="1077" w:type="dxa"/>
          </w:tcPr>
          <w:p>
            <w:pPr>
              <w:pStyle w:val="0"/>
              <w:jc w:val="center"/>
            </w:pPr>
            <w:r>
              <w:rPr>
                <w:sz w:val="24"/>
              </w:rPr>
              <w:t xml:space="preserve">9</w:t>
            </w:r>
          </w:p>
        </w:tc>
      </w:tr>
      <w:tr>
        <w:tc>
          <w:tcPr>
            <w:tcW w:w="558" w:type="dxa"/>
          </w:tcPr>
          <w:p>
            <w:pPr>
              <w:pStyle w:val="0"/>
            </w:pPr>
            <w:r>
              <w:rPr>
                <w:sz w:val="24"/>
              </w:rPr>
            </w:r>
          </w:p>
        </w:tc>
        <w:tc>
          <w:tcPr>
            <w:tcW w:w="1247" w:type="dxa"/>
          </w:tcPr>
          <w:p>
            <w:pPr>
              <w:pStyle w:val="0"/>
            </w:pPr>
            <w:r>
              <w:rPr>
                <w:sz w:val="24"/>
              </w:rPr>
            </w:r>
          </w:p>
        </w:tc>
        <w:tc>
          <w:tcPr>
            <w:tcW w:w="1134" w:type="dxa"/>
          </w:tcPr>
          <w:p>
            <w:pPr>
              <w:pStyle w:val="0"/>
            </w:pPr>
            <w:r>
              <w:rPr>
                <w:sz w:val="24"/>
              </w:rPr>
            </w:r>
          </w:p>
        </w:tc>
        <w:tc>
          <w:tcPr>
            <w:tcW w:w="1487" w:type="dxa"/>
          </w:tcPr>
          <w:p>
            <w:pPr>
              <w:pStyle w:val="0"/>
            </w:pPr>
            <w:r>
              <w:rPr>
                <w:sz w:val="24"/>
              </w:rPr>
            </w:r>
          </w:p>
        </w:tc>
        <w:tc>
          <w:tcPr>
            <w:tcW w:w="3061" w:type="dxa"/>
          </w:tcPr>
          <w:p>
            <w:pPr>
              <w:pStyle w:val="0"/>
            </w:pPr>
            <w:r>
              <w:rPr>
                <w:sz w:val="24"/>
              </w:rPr>
            </w:r>
          </w:p>
        </w:tc>
        <w:tc>
          <w:tcPr>
            <w:tcW w:w="1634" w:type="dxa"/>
          </w:tcPr>
          <w:p>
            <w:pPr>
              <w:pStyle w:val="0"/>
            </w:pPr>
            <w:r>
              <w:rPr>
                <w:sz w:val="24"/>
              </w:rPr>
            </w:r>
          </w:p>
        </w:tc>
        <w:tc>
          <w:tcPr>
            <w:tcW w:w="1634" w:type="dxa"/>
          </w:tcPr>
          <w:p>
            <w:pPr>
              <w:pStyle w:val="0"/>
            </w:pPr>
            <w:r>
              <w:rPr>
                <w:sz w:val="24"/>
              </w:rPr>
            </w:r>
          </w:p>
        </w:tc>
        <w:tc>
          <w:tcPr>
            <w:tcW w:w="1760" w:type="dxa"/>
          </w:tcPr>
          <w:p>
            <w:pPr>
              <w:pStyle w:val="0"/>
            </w:pPr>
            <w:r>
              <w:rPr>
                <w:sz w:val="24"/>
              </w:rPr>
            </w:r>
          </w:p>
        </w:tc>
        <w:tc>
          <w:tcPr>
            <w:tcW w:w="1077" w:type="dxa"/>
          </w:tcPr>
          <w:p>
            <w:pPr>
              <w:pStyle w:val="0"/>
            </w:pPr>
            <w:r>
              <w:rPr>
                <w:sz w:val="24"/>
              </w:rPr>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Примечание. С 1 января каждого года порядковая нумерация учетных записей начинается с единицы.</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w:t>
      </w:r>
      <w:hyperlink w:history="0" w:anchor="P56" w:tooltip="2.1. В соответствии со статьей 6 Закона Российской Федерации от 25 июня 1993 г. N 5242-1 &quot;О праве граждан Российской Федерации на свободу передвижения, выбор места пребывания и жительства в пределах Российской Федерации&quot; при наличии оснований, предусмотренных пунктом 4 статьи 6 Федерального закона N 76-ФЗ, военнослужащий в срок не позднее семи дней со дня прибытия к месту прохождения военной службы подает на имя руководителя органа военной прокуратуры рапорт о регистрации по месту жительства его и (или) ...">
        <w:r>
          <w:rPr>
            <w:sz w:val="24"/>
            <w:color w:val="0000ff"/>
          </w:rPr>
          <w:t xml:space="preserve">пункту 2.1</w:t>
        </w:r>
      </w:hyperlink>
      <w:r>
        <w:rPr>
          <w:sz w:val="24"/>
        </w:rPr>
        <w:t xml:space="preserve">)</w:t>
      </w:r>
    </w:p>
    <w:p>
      <w:pPr>
        <w:pStyle w:val="0"/>
        <w:jc w:val="both"/>
      </w:pPr>
      <w:r>
        <w:rPr>
          <w:sz w:val="24"/>
        </w:rPr>
      </w:r>
    </w:p>
    <w:tbl>
      <w:tblPr>
        <w:tblInd w:w="0" w:type="dxa"/>
        <w:tblLayout w:type="fixed"/>
        <w:tblCellMar>
          <w:top w:w="102" w:type="dxa"/>
          <w:left w:w="62" w:type="dxa"/>
          <w:bottom w:w="102" w:type="dxa"/>
          <w:right w:w="62" w:type="dxa"/>
        </w:tblCellMar>
      </w:tblPr>
      <w:tblGrid>
        <w:gridCol w:w="4592"/>
        <w:gridCol w:w="624"/>
        <w:gridCol w:w="3524"/>
        <w:gridCol w:w="340"/>
      </w:tblGrid>
      <w:tr>
        <w:tc>
          <w:tcPr>
            <w:tcW w:w="4592" w:type="dxa"/>
            <w:tcBorders>
              <w:top w:val="nil"/>
              <w:left w:val="nil"/>
              <w:bottom w:val="nil"/>
              <w:right w:val="nil"/>
            </w:tcBorders>
          </w:tcPr>
          <w:p>
            <w:pPr>
              <w:pStyle w:val="0"/>
            </w:pPr>
            <w:r>
              <w:rPr>
                <w:sz w:val="24"/>
              </w:rPr>
            </w:r>
          </w:p>
        </w:tc>
        <w:tc>
          <w:tcPr>
            <w:gridSpan w:val="3"/>
            <w:tcW w:w="4488" w:type="dxa"/>
            <w:tcBorders>
              <w:top w:val="nil"/>
              <w:left w:val="nil"/>
              <w:bottom w:val="nil"/>
              <w:right w:val="nil"/>
            </w:tcBorders>
          </w:tcPr>
          <w:p>
            <w:pPr>
              <w:pStyle w:val="0"/>
            </w:pPr>
            <w:r>
              <w:rPr>
                <w:sz w:val="24"/>
              </w:rPr>
              <w:t xml:space="preserve">Военному прокурору</w:t>
            </w:r>
          </w:p>
        </w:tc>
      </w:tr>
      <w:tr>
        <w:tc>
          <w:tcPr>
            <w:tcW w:w="4592" w:type="dxa"/>
            <w:tcBorders>
              <w:top w:val="nil"/>
              <w:left w:val="nil"/>
              <w:bottom w:val="nil"/>
              <w:right w:val="nil"/>
            </w:tcBorders>
          </w:tcPr>
          <w:p>
            <w:pPr>
              <w:pStyle w:val="0"/>
            </w:pPr>
            <w:r>
              <w:rPr>
                <w:sz w:val="24"/>
              </w:rPr>
            </w:r>
          </w:p>
        </w:tc>
        <w:tc>
          <w:tcPr>
            <w:gridSpan w:val="3"/>
            <w:tcW w:w="4488" w:type="dxa"/>
            <w:tcBorders>
              <w:top w:val="nil"/>
              <w:left w:val="nil"/>
              <w:bottom w:val="single" w:sz="4"/>
              <w:right w:val="nil"/>
            </w:tcBorders>
          </w:tcPr>
          <w:p>
            <w:pPr>
              <w:pStyle w:val="0"/>
            </w:pPr>
            <w:r>
              <w:rPr>
                <w:sz w:val="24"/>
              </w:rPr>
            </w:r>
          </w:p>
        </w:tc>
      </w:tr>
      <w:tr>
        <w:tc>
          <w:tcPr>
            <w:tcW w:w="4592" w:type="dxa"/>
            <w:tcBorders>
              <w:top w:val="nil"/>
              <w:left w:val="nil"/>
              <w:bottom w:val="nil"/>
              <w:right w:val="nil"/>
            </w:tcBorders>
          </w:tcPr>
          <w:p>
            <w:pPr>
              <w:pStyle w:val="0"/>
            </w:pPr>
            <w:r>
              <w:rPr>
                <w:sz w:val="24"/>
              </w:rPr>
            </w:r>
          </w:p>
        </w:tc>
        <w:tc>
          <w:tcPr>
            <w:gridSpan w:val="3"/>
            <w:tcW w:w="4488" w:type="dxa"/>
            <w:tcBorders>
              <w:top w:val="single" w:sz="4"/>
              <w:left w:val="nil"/>
              <w:bottom w:val="nil"/>
              <w:right w:val="nil"/>
            </w:tcBorders>
          </w:tcPr>
          <w:p>
            <w:pPr>
              <w:pStyle w:val="0"/>
              <w:jc w:val="center"/>
            </w:pPr>
            <w:r>
              <w:rPr>
                <w:sz w:val="24"/>
              </w:rPr>
              <w:t xml:space="preserve">(наименование органа военной прокуратуры)</w:t>
            </w:r>
          </w:p>
        </w:tc>
      </w:tr>
      <w:tr>
        <w:tc>
          <w:tcPr>
            <w:tcW w:w="4592" w:type="dxa"/>
            <w:tcBorders>
              <w:top w:val="nil"/>
              <w:left w:val="nil"/>
              <w:bottom w:val="nil"/>
              <w:right w:val="nil"/>
            </w:tcBorders>
          </w:tcPr>
          <w:p>
            <w:pPr>
              <w:pStyle w:val="0"/>
            </w:pPr>
            <w:r>
              <w:rPr>
                <w:sz w:val="24"/>
              </w:rPr>
            </w:r>
          </w:p>
        </w:tc>
        <w:tc>
          <w:tcPr>
            <w:tcW w:w="624" w:type="dxa"/>
            <w:vAlign w:val="bottom"/>
            <w:tcBorders>
              <w:top w:val="nil"/>
              <w:left w:val="nil"/>
              <w:bottom w:val="nil"/>
              <w:right w:val="nil"/>
            </w:tcBorders>
          </w:tcPr>
          <w:p>
            <w:pPr>
              <w:pStyle w:val="0"/>
            </w:pPr>
            <w:r>
              <w:rPr>
                <w:sz w:val="24"/>
              </w:rPr>
              <w:t xml:space="preserve">от</w:t>
            </w:r>
          </w:p>
        </w:tc>
        <w:tc>
          <w:tcPr>
            <w:tcW w:w="3524"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t xml:space="preserve">,</w:t>
            </w:r>
          </w:p>
        </w:tc>
      </w:tr>
      <w:tr>
        <w:tc>
          <w:tcPr>
            <w:tcW w:w="4592" w:type="dxa"/>
            <w:tcBorders>
              <w:top w:val="nil"/>
              <w:left w:val="nil"/>
              <w:bottom w:val="nil"/>
              <w:right w:val="nil"/>
            </w:tcBorders>
          </w:tcPr>
          <w:p>
            <w:pPr>
              <w:pStyle w:val="0"/>
            </w:pPr>
            <w:r>
              <w:rPr>
                <w:sz w:val="24"/>
              </w:rPr>
            </w:r>
          </w:p>
        </w:tc>
        <w:tc>
          <w:tcPr>
            <w:tcW w:w="624" w:type="dxa"/>
            <w:vAlign w:val="bottom"/>
            <w:tcBorders>
              <w:top w:val="nil"/>
              <w:left w:val="nil"/>
              <w:bottom w:val="nil"/>
              <w:right w:val="nil"/>
            </w:tcBorders>
          </w:tcPr>
          <w:p>
            <w:pPr>
              <w:pStyle w:val="0"/>
            </w:pPr>
            <w:r>
              <w:rPr>
                <w:sz w:val="24"/>
              </w:rPr>
            </w:r>
          </w:p>
        </w:tc>
        <w:tc>
          <w:tcPr>
            <w:tcW w:w="3524" w:type="dxa"/>
            <w:tcBorders>
              <w:top w:val="single" w:sz="4"/>
              <w:left w:val="nil"/>
              <w:bottom w:val="nil"/>
              <w:right w:val="nil"/>
            </w:tcBorders>
          </w:tcPr>
          <w:p>
            <w:pPr>
              <w:pStyle w:val="0"/>
              <w:jc w:val="center"/>
            </w:pPr>
            <w:r>
              <w:rPr>
                <w:sz w:val="24"/>
              </w:rPr>
              <w:t xml:space="preserve">(воинское звание, фамилия, инициалы)</w:t>
            </w:r>
          </w:p>
        </w:tc>
        <w:tc>
          <w:tcPr>
            <w:tcW w:w="340" w:type="dxa"/>
            <w:tcBorders>
              <w:top w:val="nil"/>
              <w:left w:val="nil"/>
              <w:bottom w:val="nil"/>
              <w:right w:val="nil"/>
            </w:tcBorders>
          </w:tcPr>
          <w:p>
            <w:pPr>
              <w:pStyle w:val="0"/>
            </w:pPr>
            <w:r>
              <w:rPr>
                <w:sz w:val="24"/>
              </w:rPr>
            </w:r>
          </w:p>
        </w:tc>
      </w:tr>
      <w:tr>
        <w:tc>
          <w:tcPr>
            <w:tcW w:w="4592" w:type="dxa"/>
            <w:tcBorders>
              <w:top w:val="nil"/>
              <w:left w:val="nil"/>
              <w:bottom w:val="nil"/>
              <w:right w:val="nil"/>
            </w:tcBorders>
          </w:tcPr>
          <w:p>
            <w:pPr>
              <w:pStyle w:val="0"/>
            </w:pPr>
            <w:r>
              <w:rPr>
                <w:sz w:val="24"/>
              </w:rPr>
            </w:r>
          </w:p>
        </w:tc>
        <w:tc>
          <w:tcPr>
            <w:tcW w:w="624" w:type="dxa"/>
            <w:vAlign w:val="bottom"/>
            <w:tcBorders>
              <w:top w:val="nil"/>
              <w:left w:val="nil"/>
              <w:bottom w:val="nil"/>
              <w:right w:val="nil"/>
            </w:tcBorders>
          </w:tcPr>
          <w:p>
            <w:pPr>
              <w:pStyle w:val="0"/>
            </w:pPr>
            <w:r>
              <w:rPr>
                <w:sz w:val="24"/>
              </w:rPr>
              <w:t xml:space="preserve">тел.</w:t>
            </w:r>
          </w:p>
        </w:tc>
        <w:tc>
          <w:tcPr>
            <w:gridSpan w:val="2"/>
            <w:tcW w:w="3864" w:type="dxa"/>
            <w:tcBorders>
              <w:top w:val="nil"/>
              <w:left w:val="nil"/>
              <w:bottom w:val="single" w:sz="4"/>
              <w:right w:val="nil"/>
            </w:tcBorders>
          </w:tcPr>
          <w:p>
            <w:pPr>
              <w:pStyle w:val="0"/>
            </w:pPr>
            <w:r>
              <w:rPr>
                <w:sz w:val="24"/>
              </w:rPr>
            </w:r>
          </w:p>
        </w:tc>
      </w:tr>
      <w:tr>
        <w:tc>
          <w:tcPr>
            <w:tcW w:w="4592" w:type="dxa"/>
            <w:tcBorders>
              <w:top w:val="nil"/>
              <w:left w:val="nil"/>
              <w:bottom w:val="nil"/>
              <w:right w:val="nil"/>
            </w:tcBorders>
          </w:tcPr>
          <w:p>
            <w:pPr>
              <w:pStyle w:val="0"/>
            </w:pPr>
            <w:r>
              <w:rPr>
                <w:sz w:val="24"/>
              </w:rPr>
            </w:r>
          </w:p>
        </w:tc>
        <w:tc>
          <w:tcPr>
            <w:tcW w:w="624" w:type="dxa"/>
            <w:tcBorders>
              <w:top w:val="nil"/>
              <w:left w:val="nil"/>
              <w:bottom w:val="nil"/>
              <w:right w:val="nil"/>
            </w:tcBorders>
          </w:tcPr>
          <w:p>
            <w:pPr>
              <w:pStyle w:val="0"/>
            </w:pPr>
            <w:r>
              <w:rPr>
                <w:sz w:val="24"/>
              </w:rPr>
            </w:r>
          </w:p>
        </w:tc>
        <w:tc>
          <w:tcPr>
            <w:gridSpan w:val="2"/>
            <w:tcW w:w="3864" w:type="dxa"/>
            <w:tcBorders>
              <w:top w:val="single" w:sz="4"/>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189" w:name="P189"/>
          <w:bookmarkEnd w:id="189"/>
          <w:p>
            <w:pPr>
              <w:pStyle w:val="0"/>
              <w:jc w:val="center"/>
            </w:pPr>
            <w:r>
              <w:rPr>
                <w:sz w:val="24"/>
              </w:rPr>
              <w:t xml:space="preserve">РАПОРТ</w:t>
            </w:r>
          </w:p>
          <w:p>
            <w:pPr>
              <w:pStyle w:val="0"/>
              <w:jc w:val="center"/>
            </w:pPr>
            <w:r>
              <w:rPr>
                <w:sz w:val="24"/>
              </w:rPr>
              <w:t xml:space="preserve">о регистрации по месту жительства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49"/>
        <w:gridCol w:w="7887"/>
        <w:gridCol w:w="435"/>
      </w:tblGrid>
      <w:tr>
        <w:tc>
          <w:tcPr>
            <w:tcW w:w="749" w:type="dxa"/>
            <w:vAlign w:val="bottom"/>
            <w:tcBorders>
              <w:top w:val="nil"/>
              <w:left w:val="nil"/>
              <w:bottom w:val="nil"/>
              <w:right w:val="nil"/>
            </w:tcBorders>
          </w:tcPr>
          <w:p>
            <w:pPr>
              <w:pStyle w:val="0"/>
              <w:ind w:firstLine="283"/>
              <w:jc w:val="both"/>
            </w:pPr>
            <w:r>
              <w:rPr>
                <w:sz w:val="24"/>
              </w:rPr>
              <w:t xml:space="preserve">Я,</w:t>
            </w:r>
          </w:p>
        </w:tc>
        <w:tc>
          <w:tcPr>
            <w:tcW w:w="7887" w:type="dxa"/>
            <w:tcBorders>
              <w:top w:val="nil"/>
              <w:left w:val="nil"/>
              <w:bottom w:val="single" w:sz="4"/>
              <w:right w:val="nil"/>
            </w:tcBorders>
          </w:tcPr>
          <w:p>
            <w:pPr>
              <w:pStyle w:val="0"/>
            </w:pPr>
            <w:r>
              <w:rPr>
                <w:sz w:val="24"/>
              </w:rPr>
            </w:r>
          </w:p>
        </w:tc>
        <w:tc>
          <w:tcPr>
            <w:tcW w:w="435" w:type="dxa"/>
            <w:vAlign w:val="bottom"/>
            <w:tcBorders>
              <w:top w:val="nil"/>
              <w:left w:val="nil"/>
              <w:bottom w:val="nil"/>
              <w:right w:val="nil"/>
            </w:tcBorders>
          </w:tcPr>
          <w:p>
            <w:pPr>
              <w:pStyle w:val="0"/>
            </w:pPr>
            <w:r>
              <w:rPr>
                <w:sz w:val="24"/>
              </w:rPr>
              <w:t xml:space="preserve">,</w:t>
            </w:r>
          </w:p>
        </w:tc>
      </w:tr>
      <w:tr>
        <w:tc>
          <w:tcPr>
            <w:tcW w:w="749" w:type="dxa"/>
            <w:tcBorders>
              <w:top w:val="nil"/>
              <w:left w:val="nil"/>
              <w:bottom w:val="nil"/>
              <w:right w:val="nil"/>
            </w:tcBorders>
          </w:tcPr>
          <w:p>
            <w:pPr>
              <w:pStyle w:val="0"/>
            </w:pPr>
            <w:r>
              <w:rPr>
                <w:sz w:val="24"/>
              </w:rPr>
            </w:r>
          </w:p>
        </w:tc>
        <w:tc>
          <w:tcPr>
            <w:tcW w:w="7887" w:type="dxa"/>
            <w:tcBorders>
              <w:top w:val="single" w:sz="4"/>
              <w:left w:val="nil"/>
              <w:bottom w:val="nil"/>
              <w:right w:val="nil"/>
            </w:tcBorders>
          </w:tcPr>
          <w:p>
            <w:pPr>
              <w:pStyle w:val="0"/>
              <w:jc w:val="center"/>
            </w:pPr>
            <w:r>
              <w:rPr>
                <w:sz w:val="24"/>
              </w:rPr>
              <w:t xml:space="preserve">(фамилия, имя, отчество (при наличии), основное место военной службы, занимаемая воинская должность)</w:t>
            </w:r>
          </w:p>
        </w:tc>
        <w:tc>
          <w:tcPr>
            <w:tcW w:w="435" w:type="dxa"/>
            <w:tcBorders>
              <w:top w:val="nil"/>
              <w:left w:val="nil"/>
              <w:bottom w:val="nil"/>
              <w:right w:val="nil"/>
            </w:tcBorders>
          </w:tcPr>
          <w:p>
            <w:pPr>
              <w:pStyle w:val="0"/>
            </w:pPr>
            <w:r>
              <w:rPr>
                <w:sz w:val="24"/>
              </w:rPr>
            </w:r>
          </w:p>
        </w:tc>
      </w:tr>
      <w:tr>
        <w:tc>
          <w:tcPr>
            <w:gridSpan w:val="3"/>
            <w:tcW w:w="9071" w:type="dxa"/>
            <w:tcBorders>
              <w:top w:val="nil"/>
              <w:left w:val="nil"/>
              <w:bottom w:val="nil"/>
              <w:right w:val="nil"/>
            </w:tcBorders>
          </w:tcPr>
          <w:p>
            <w:pPr>
              <w:pStyle w:val="1"/>
              <w:jc w:val="both"/>
            </w:pPr>
            <w:r>
              <w:rPr>
                <w:sz w:val="20"/>
              </w:rPr>
              <w:t xml:space="preserve">в  соответствии  с  </w:t>
            </w:r>
            <w:hyperlink w:history="0" r:id="rId22" w:tooltip="Федеральный закон от 27.05.1998 N 76-ФЗ (ред. от 07.07.2025) &quot;О статусе военнослужащих&quot; {КонсультантПлюс}">
              <w:r>
                <w:rPr>
                  <w:sz w:val="20"/>
                  <w:color w:val="0000ff"/>
                </w:rPr>
                <w:t xml:space="preserve">пунктом   4   статьи   6</w:t>
              </w:r>
            </w:hyperlink>
            <w:r>
              <w:rPr>
                <w:sz w:val="20"/>
              </w:rPr>
              <w:t xml:space="preserve">  Федерального  закона</w:t>
            </w:r>
          </w:p>
          <w:p>
            <w:pPr>
              <w:pStyle w:val="1"/>
              <w:jc w:val="both"/>
            </w:pPr>
            <w:r>
              <w:rPr>
                <w:sz w:val="20"/>
              </w:rPr>
              <w:t xml:space="preserve">от  27  мая 1998 г. N  76-ФЗ   "О  статусе  военнослужащих"  прошу</w:t>
            </w:r>
          </w:p>
          <w:p>
            <w:pPr>
              <w:pStyle w:val="1"/>
              <w:jc w:val="both"/>
            </w:pPr>
            <w:r>
              <w:rPr>
                <w:sz w:val="20"/>
              </w:rPr>
              <w:t xml:space="preserve">Вашего ходатайства о регистрации по  месту  жительства  по  адресу</w:t>
            </w:r>
          </w:p>
          <w:p>
            <w:pPr>
              <w:pStyle w:val="1"/>
              <w:jc w:val="both"/>
            </w:pPr>
            <w:r>
              <w:rPr>
                <w:sz w:val="20"/>
              </w:rPr>
              <w:t xml:space="preserve">__________________________________________________________________</w:t>
            </w:r>
          </w:p>
          <w:p>
            <w:pPr>
              <w:pStyle w:val="1"/>
              <w:jc w:val="both"/>
            </w:pPr>
            <w:r>
              <w:rPr>
                <w:sz w:val="20"/>
              </w:rPr>
              <w:t xml:space="preserve">         (наименование органа военной прокуратуры, адрес)</w:t>
            </w:r>
          </w:p>
        </w:tc>
      </w:tr>
      <w:tr>
        <w:tc>
          <w:tcPr>
            <w:gridSpan w:val="3"/>
            <w:tcW w:w="9071" w:type="dxa"/>
            <w:vAlign w:val="bottom"/>
            <w:tcBorders>
              <w:top w:val="nil"/>
              <w:left w:val="nil"/>
              <w:bottom w:val="nil"/>
              <w:right w:val="nil"/>
            </w:tcBorders>
          </w:tcPr>
          <w:p>
            <w:pPr>
              <w:pStyle w:val="0"/>
              <w:jc w:val="both"/>
            </w:pPr>
            <w:r>
              <w:rPr>
                <w:sz w:val="24"/>
              </w:rPr>
              <w:t xml:space="preserve">меня и членов моей семьи:</w:t>
            </w:r>
          </w:p>
        </w:tc>
      </w:tr>
      <w:tr>
        <w:tc>
          <w:tcPr>
            <w:tcW w:w="749" w:type="dxa"/>
            <w:vAlign w:val="bottom"/>
            <w:tcBorders>
              <w:top w:val="nil"/>
              <w:left w:val="nil"/>
              <w:bottom w:val="nil"/>
              <w:right w:val="nil"/>
            </w:tcBorders>
          </w:tcPr>
          <w:p>
            <w:pPr>
              <w:pStyle w:val="0"/>
              <w:ind w:firstLine="283"/>
              <w:jc w:val="both"/>
            </w:pPr>
            <w:r>
              <w:rPr>
                <w:sz w:val="24"/>
              </w:rPr>
              <w:t xml:space="preserve">1.</w:t>
            </w:r>
          </w:p>
        </w:tc>
        <w:tc>
          <w:tcPr>
            <w:gridSpan w:val="2"/>
            <w:tcW w:w="8322" w:type="dxa"/>
            <w:tcBorders>
              <w:top w:val="nil"/>
              <w:left w:val="nil"/>
              <w:bottom w:val="single" w:sz="4"/>
              <w:right w:val="nil"/>
            </w:tcBorders>
          </w:tcPr>
          <w:p>
            <w:pPr>
              <w:pStyle w:val="0"/>
            </w:pPr>
            <w:r>
              <w:rPr>
                <w:sz w:val="24"/>
              </w:rPr>
            </w:r>
          </w:p>
        </w:tc>
      </w:tr>
      <w:tr>
        <w:tc>
          <w:tcPr>
            <w:tcW w:w="749" w:type="dxa"/>
            <w:tcBorders>
              <w:top w:val="nil"/>
              <w:left w:val="nil"/>
              <w:bottom w:val="nil"/>
              <w:right w:val="nil"/>
            </w:tcBorders>
          </w:tcPr>
          <w:p>
            <w:pPr>
              <w:pStyle w:val="0"/>
            </w:pPr>
            <w:r>
              <w:rPr>
                <w:sz w:val="24"/>
              </w:rPr>
            </w:r>
          </w:p>
        </w:tc>
        <w:tc>
          <w:tcPr>
            <w:gridSpan w:val="2"/>
            <w:tcW w:w="8322" w:type="dxa"/>
            <w:tcBorders>
              <w:top w:val="single" w:sz="4"/>
              <w:left w:val="nil"/>
              <w:bottom w:val="nil"/>
              <w:right w:val="nil"/>
            </w:tcBorders>
          </w:tcPr>
          <w:p>
            <w:pPr>
              <w:pStyle w:val="0"/>
              <w:jc w:val="center"/>
            </w:pPr>
            <w:r>
              <w:rPr>
                <w:sz w:val="24"/>
              </w:rPr>
              <w:t xml:space="preserve">(степень родства - фамилия, имя, отчество (при наличии), дата рождения)</w:t>
            </w:r>
          </w:p>
        </w:tc>
      </w:tr>
      <w:tr>
        <w:tc>
          <w:tcPr>
            <w:tcW w:w="749" w:type="dxa"/>
            <w:vAlign w:val="bottom"/>
            <w:tcBorders>
              <w:top w:val="nil"/>
              <w:left w:val="nil"/>
              <w:bottom w:val="nil"/>
              <w:right w:val="nil"/>
            </w:tcBorders>
          </w:tcPr>
          <w:p>
            <w:pPr>
              <w:pStyle w:val="0"/>
              <w:ind w:firstLine="283"/>
              <w:jc w:val="both"/>
            </w:pPr>
            <w:r>
              <w:rPr>
                <w:sz w:val="24"/>
              </w:rPr>
              <w:t xml:space="preserve">2.</w:t>
            </w:r>
          </w:p>
        </w:tc>
        <w:tc>
          <w:tcPr>
            <w:gridSpan w:val="2"/>
            <w:tcW w:w="8322" w:type="dxa"/>
            <w:tcBorders>
              <w:top w:val="nil"/>
              <w:left w:val="nil"/>
              <w:bottom w:val="single" w:sz="4"/>
              <w:right w:val="nil"/>
            </w:tcBorders>
          </w:tcPr>
          <w:p>
            <w:pPr>
              <w:pStyle w:val="0"/>
            </w:pPr>
            <w:r>
              <w:rPr>
                <w:sz w:val="24"/>
              </w:rPr>
            </w:r>
          </w:p>
        </w:tc>
      </w:tr>
      <w:tr>
        <w:tc>
          <w:tcPr>
            <w:tcW w:w="749" w:type="dxa"/>
            <w:tcBorders>
              <w:top w:val="nil"/>
              <w:left w:val="nil"/>
              <w:bottom w:val="nil"/>
              <w:right w:val="nil"/>
            </w:tcBorders>
          </w:tcPr>
          <w:p>
            <w:pPr>
              <w:pStyle w:val="0"/>
            </w:pPr>
            <w:r>
              <w:rPr>
                <w:sz w:val="24"/>
              </w:rPr>
            </w:r>
          </w:p>
        </w:tc>
        <w:tc>
          <w:tcPr>
            <w:gridSpan w:val="2"/>
            <w:tcW w:w="8322" w:type="dxa"/>
            <w:tcBorders>
              <w:top w:val="single" w:sz="4"/>
              <w:left w:val="nil"/>
              <w:bottom w:val="nil"/>
              <w:right w:val="nil"/>
            </w:tcBorders>
          </w:tcPr>
          <w:p>
            <w:pPr>
              <w:pStyle w:val="0"/>
              <w:jc w:val="center"/>
            </w:pPr>
            <w:r>
              <w:rPr>
                <w:sz w:val="24"/>
              </w:rPr>
              <w:t xml:space="preserve">(степень родства - фамилия, имя, отчество (при наличии), дата рождения)</w:t>
            </w:r>
          </w:p>
        </w:tc>
      </w:tr>
      <w:tr>
        <w:tc>
          <w:tcPr>
            <w:gridSpan w:val="3"/>
            <w:tcW w:w="9071" w:type="dxa"/>
            <w:tcBorders>
              <w:top w:val="nil"/>
              <w:left w:val="nil"/>
              <w:bottom w:val="nil"/>
              <w:right w:val="nil"/>
            </w:tcBorders>
          </w:tcPr>
          <w:p>
            <w:pPr>
              <w:pStyle w:val="1"/>
              <w:jc w:val="both"/>
            </w:pPr>
            <w:r>
              <w:rPr>
                <w:sz w:val="20"/>
              </w:rPr>
              <w:t xml:space="preserve">    По  месту  прохождения  военной  службы  я  и члены моей семьи</w:t>
            </w:r>
          </w:p>
          <w:p>
            <w:pPr>
              <w:pStyle w:val="1"/>
              <w:jc w:val="both"/>
            </w:pPr>
            <w:r>
              <w:rPr>
                <w:sz w:val="20"/>
              </w:rPr>
              <w:t xml:space="preserve">проживаем по адресу: _____________________________________________</w:t>
            </w:r>
          </w:p>
          <w:p>
            <w:pPr>
              <w:pStyle w:val="1"/>
              <w:jc w:val="both"/>
            </w:pPr>
            <w:r>
              <w:rPr>
                <w:sz w:val="20"/>
              </w:rPr>
              <w:t xml:space="preserve">                       (адрес фактического проживания, основание</w:t>
            </w:r>
          </w:p>
          <w:p>
            <w:pPr>
              <w:pStyle w:val="1"/>
              <w:jc w:val="both"/>
            </w:pPr>
            <w:r>
              <w:rPr>
                <w:sz w:val="20"/>
              </w:rPr>
              <w:t xml:space="preserve">                                      пользования)</w:t>
            </w:r>
          </w:p>
        </w:tc>
      </w:tr>
      <w:tr>
        <w:tc>
          <w:tcPr>
            <w:gridSpan w:val="3"/>
            <w:tcW w:w="9071" w:type="dxa"/>
            <w:tcBorders>
              <w:top w:val="nil"/>
              <w:left w:val="nil"/>
              <w:bottom w:val="nil"/>
              <w:right w:val="nil"/>
            </w:tcBorders>
          </w:tcPr>
          <w:p>
            <w:pPr>
              <w:pStyle w:val="0"/>
              <w:ind w:firstLine="283"/>
              <w:jc w:val="both"/>
            </w:pPr>
            <w:r>
              <w:rPr>
                <w:sz w:val="24"/>
              </w:rPr>
              <w:t xml:space="preserve">Даем согласие на обработку и использование персональных данных, а также направление запросов в федеральную службу государственной регистрации, кадастра и картографии о предоставлении сведений о правах, зарегистрированных на имеющиеся объекты недвижимости.</w:t>
            </w:r>
          </w:p>
          <w:p>
            <w:pPr>
              <w:pStyle w:val="0"/>
              <w:ind w:firstLine="283"/>
              <w:jc w:val="both"/>
            </w:pPr>
            <w:r>
              <w:rPr>
                <w:sz w:val="24"/>
              </w:rPr>
              <w:t xml:space="preserve">В течение 10 рабочих дней с даты наступления случаев, предусмотренных </w:t>
            </w:r>
            <w:hyperlink w:history="0" r:id="rId23" w:tooltip="Федеральный закон от 27.05.1998 N 76-ФЗ (ред. от 07.07.2025) &quot;О статусе военнослужащих&quot; {КонсультантПлюс}">
              <w:r>
                <w:rPr>
                  <w:sz w:val="24"/>
                  <w:color w:val="0000ff"/>
                </w:rPr>
                <w:t xml:space="preserve">пунктами 5</w:t>
              </w:r>
            </w:hyperlink>
            <w:r>
              <w:rPr>
                <w:sz w:val="24"/>
              </w:rPr>
              <w:t xml:space="preserve"> и </w:t>
            </w:r>
            <w:hyperlink w:history="0" r:id="rId24" w:tooltip="Федеральный закон от 27.05.1998 N 76-ФЗ (ред. от 07.07.2025) &quot;О статусе военнослужащих&quot; {КонсультантПлюс}">
              <w:r>
                <w:rPr>
                  <w:sz w:val="24"/>
                  <w:color w:val="0000ff"/>
                </w:rPr>
                <w:t xml:space="preserve">6 статьи 6</w:t>
              </w:r>
            </w:hyperlink>
            <w:r>
              <w:rPr>
                <w:sz w:val="24"/>
              </w:rPr>
              <w:t xml:space="preserve"> Федерального закона от 27 мая 1998 г. N 76-ФЗ "О статусе военнослужащих", обязуемся уведомить об этом и сняться с регистрационного учета.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97"/>
        <w:gridCol w:w="495"/>
        <w:gridCol w:w="345"/>
        <w:gridCol w:w="1081"/>
        <w:gridCol w:w="481"/>
        <w:gridCol w:w="360"/>
        <w:gridCol w:w="422"/>
        <w:gridCol w:w="340"/>
        <w:gridCol w:w="5102"/>
      </w:tblGrid>
      <w:tr>
        <w:tc>
          <w:tcPr>
            <w:tcW w:w="397" w:type="dxa"/>
            <w:vAlign w:val="bottom"/>
            <w:tcBorders>
              <w:top w:val="nil"/>
              <w:left w:val="nil"/>
              <w:bottom w:val="nil"/>
              <w:right w:val="nil"/>
            </w:tcBorders>
          </w:tcPr>
          <w:p>
            <w:pPr>
              <w:pStyle w:val="0"/>
            </w:pPr>
            <w:r>
              <w:rPr>
                <w:sz w:val="24"/>
              </w:rPr>
            </w:r>
          </w:p>
        </w:tc>
        <w:tc>
          <w:tcPr>
            <w:tcW w:w="495" w:type="dxa"/>
            <w:vAlign w:val="bottom"/>
            <w:tcBorders>
              <w:top w:val="nil"/>
              <w:left w:val="nil"/>
              <w:bottom w:val="single" w:sz="4"/>
              <w:right w:val="nil"/>
            </w:tcBorders>
          </w:tcPr>
          <w:p>
            <w:pPr>
              <w:pStyle w:val="0"/>
            </w:pPr>
            <w:r>
              <w:rPr>
                <w:sz w:val="24"/>
              </w:rPr>
            </w:r>
          </w:p>
        </w:tc>
        <w:tc>
          <w:tcPr>
            <w:tcW w:w="345" w:type="dxa"/>
            <w:vAlign w:val="bottom"/>
            <w:tcBorders>
              <w:top w:val="nil"/>
              <w:left w:val="nil"/>
              <w:bottom w:val="nil"/>
              <w:right w:val="nil"/>
            </w:tcBorders>
          </w:tcPr>
          <w:p>
            <w:pPr>
              <w:pStyle w:val="0"/>
            </w:pPr>
            <w:r>
              <w:rPr>
                <w:sz w:val="24"/>
              </w:rPr>
            </w:r>
          </w:p>
        </w:tc>
        <w:tc>
          <w:tcPr>
            <w:tcW w:w="1081" w:type="dxa"/>
            <w:vAlign w:val="bottom"/>
            <w:tcBorders>
              <w:top w:val="nil"/>
              <w:left w:val="nil"/>
              <w:bottom w:val="single" w:sz="4"/>
              <w:right w:val="nil"/>
            </w:tcBorders>
          </w:tcPr>
          <w:p>
            <w:pPr>
              <w:pStyle w:val="0"/>
            </w:pPr>
            <w:r>
              <w:rPr>
                <w:sz w:val="24"/>
              </w:rPr>
            </w:r>
          </w:p>
        </w:tc>
        <w:tc>
          <w:tcPr>
            <w:tcW w:w="481" w:type="dxa"/>
            <w:vAlign w:val="bottom"/>
            <w:tcBorders>
              <w:top w:val="nil"/>
              <w:left w:val="nil"/>
              <w:bottom w:val="nil"/>
              <w:right w:val="nil"/>
            </w:tcBorders>
          </w:tcPr>
          <w:p>
            <w:pPr>
              <w:pStyle w:val="0"/>
              <w:jc w:val="right"/>
            </w:pPr>
            <w:r>
              <w:rPr>
                <w:sz w:val="24"/>
              </w:rPr>
              <w:t xml:space="preserve">20</w:t>
            </w:r>
          </w:p>
        </w:tc>
        <w:tc>
          <w:tcPr>
            <w:tcW w:w="360" w:type="dxa"/>
            <w:vAlign w:val="bottom"/>
            <w:tcBorders>
              <w:top w:val="nil"/>
              <w:left w:val="nil"/>
              <w:bottom w:val="single" w:sz="4"/>
              <w:right w:val="nil"/>
            </w:tcBorders>
          </w:tcPr>
          <w:p>
            <w:pPr>
              <w:pStyle w:val="0"/>
            </w:pPr>
            <w:r>
              <w:rPr>
                <w:sz w:val="24"/>
              </w:rPr>
            </w:r>
          </w:p>
        </w:tc>
        <w:tc>
          <w:tcPr>
            <w:tcW w:w="422" w:type="dxa"/>
            <w:vAlign w:val="bottom"/>
            <w:tcBorders>
              <w:top w:val="nil"/>
              <w:left w:val="nil"/>
              <w:bottom w:val="nil"/>
              <w:right w:val="nil"/>
            </w:tcBorders>
          </w:tcPr>
          <w:p>
            <w:pPr>
              <w:pStyle w:val="0"/>
              <w:jc w:val="both"/>
            </w:pPr>
            <w:r>
              <w:rPr>
                <w:sz w:val="24"/>
              </w:rPr>
              <w:t xml:space="preserve">г.</w:t>
            </w:r>
          </w:p>
        </w:tc>
        <w:tc>
          <w:tcPr>
            <w:tcW w:w="340" w:type="dxa"/>
            <w:tcBorders>
              <w:top w:val="nil"/>
              <w:left w:val="nil"/>
              <w:bottom w:val="nil"/>
              <w:right w:val="nil"/>
            </w:tcBorders>
          </w:tcPr>
          <w:p>
            <w:pPr>
              <w:pStyle w:val="0"/>
            </w:pPr>
            <w:r>
              <w:rPr>
                <w:sz w:val="24"/>
              </w:rPr>
            </w:r>
          </w:p>
        </w:tc>
        <w:tc>
          <w:tcPr>
            <w:tcW w:w="5102" w:type="dxa"/>
            <w:tcBorders>
              <w:top w:val="nil"/>
              <w:left w:val="nil"/>
              <w:bottom w:val="single" w:sz="4"/>
              <w:right w:val="nil"/>
            </w:tcBorders>
          </w:tcPr>
          <w:p>
            <w:pPr>
              <w:pStyle w:val="0"/>
            </w:pPr>
            <w:r>
              <w:rPr>
                <w:sz w:val="24"/>
              </w:rPr>
            </w:r>
          </w:p>
        </w:tc>
      </w:tr>
      <w:tr>
        <w:tc>
          <w:tcPr>
            <w:tcW w:w="397" w:type="dxa"/>
            <w:tcBorders>
              <w:top w:val="nil"/>
              <w:left w:val="nil"/>
              <w:bottom w:val="nil"/>
              <w:right w:val="nil"/>
            </w:tcBorders>
          </w:tcPr>
          <w:p>
            <w:pPr>
              <w:pStyle w:val="0"/>
            </w:pPr>
            <w:r>
              <w:rPr>
                <w:sz w:val="24"/>
              </w:rPr>
            </w:r>
          </w:p>
        </w:tc>
        <w:tc>
          <w:tcPr>
            <w:tcW w:w="495" w:type="dxa"/>
            <w:vAlign w:val="bottom"/>
            <w:tcBorders>
              <w:top w:val="single" w:sz="4"/>
              <w:left w:val="nil"/>
              <w:bottom w:val="nil"/>
              <w:right w:val="nil"/>
            </w:tcBorders>
          </w:tcPr>
          <w:p>
            <w:pPr>
              <w:pStyle w:val="0"/>
            </w:pPr>
            <w:r>
              <w:rPr>
                <w:sz w:val="24"/>
              </w:rPr>
            </w:r>
          </w:p>
        </w:tc>
        <w:tc>
          <w:tcPr>
            <w:tcW w:w="345" w:type="dxa"/>
            <w:vAlign w:val="bottom"/>
            <w:tcBorders>
              <w:top w:val="nil"/>
              <w:left w:val="nil"/>
              <w:bottom w:val="nil"/>
              <w:right w:val="nil"/>
            </w:tcBorders>
          </w:tcPr>
          <w:p>
            <w:pPr>
              <w:pStyle w:val="0"/>
            </w:pPr>
            <w:r>
              <w:rPr>
                <w:sz w:val="24"/>
              </w:rPr>
            </w:r>
          </w:p>
        </w:tc>
        <w:tc>
          <w:tcPr>
            <w:tcW w:w="1081" w:type="dxa"/>
            <w:vAlign w:val="bottom"/>
            <w:tcBorders>
              <w:top w:val="single" w:sz="4"/>
              <w:left w:val="nil"/>
              <w:bottom w:val="nil"/>
              <w:right w:val="nil"/>
            </w:tcBorders>
          </w:tcPr>
          <w:p>
            <w:pPr>
              <w:pStyle w:val="0"/>
            </w:pPr>
            <w:r>
              <w:rPr>
                <w:sz w:val="24"/>
              </w:rPr>
            </w:r>
          </w:p>
        </w:tc>
        <w:tc>
          <w:tcPr>
            <w:tcW w:w="481" w:type="dxa"/>
            <w:vAlign w:val="bottom"/>
            <w:tcBorders>
              <w:top w:val="nil"/>
              <w:left w:val="nil"/>
              <w:bottom w:val="nil"/>
              <w:right w:val="nil"/>
            </w:tcBorders>
          </w:tcPr>
          <w:p>
            <w:pPr>
              <w:pStyle w:val="0"/>
            </w:pPr>
            <w:r>
              <w:rPr>
                <w:sz w:val="24"/>
              </w:rPr>
            </w:r>
          </w:p>
        </w:tc>
        <w:tc>
          <w:tcPr>
            <w:tcW w:w="360" w:type="dxa"/>
            <w:vAlign w:val="bottom"/>
            <w:tcBorders>
              <w:top w:val="single" w:sz="4"/>
              <w:left w:val="nil"/>
              <w:bottom w:val="nil"/>
              <w:right w:val="nil"/>
            </w:tcBorders>
          </w:tcPr>
          <w:p>
            <w:pPr>
              <w:pStyle w:val="0"/>
            </w:pPr>
            <w:r>
              <w:rPr>
                <w:sz w:val="24"/>
              </w:rPr>
            </w:r>
          </w:p>
        </w:tc>
        <w:tc>
          <w:tcPr>
            <w:tcW w:w="422" w:type="dxa"/>
            <w:vAlign w:val="bottom"/>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5102" w:type="dxa"/>
            <w:tcBorders>
              <w:top w:val="single" w:sz="4"/>
              <w:left w:val="nil"/>
              <w:bottom w:val="nil"/>
              <w:right w:val="nil"/>
            </w:tcBorders>
          </w:tcPr>
          <w:p>
            <w:pPr>
              <w:pStyle w:val="0"/>
              <w:jc w:val="center"/>
            </w:pPr>
            <w:r>
              <w:rPr>
                <w:sz w:val="24"/>
              </w:rPr>
              <w:t xml:space="preserve">(подпись военнослужащего, инициалы, фамилия)</w:t>
            </w:r>
          </w:p>
        </w:tc>
      </w:tr>
      <w:tr>
        <w:tc>
          <w:tcPr>
            <w:tcW w:w="397" w:type="dxa"/>
            <w:vAlign w:val="bottom"/>
            <w:tcBorders>
              <w:top w:val="nil"/>
              <w:left w:val="nil"/>
              <w:bottom w:val="nil"/>
              <w:right w:val="nil"/>
            </w:tcBorders>
          </w:tcPr>
          <w:p>
            <w:pPr>
              <w:pStyle w:val="0"/>
            </w:pPr>
            <w:r>
              <w:rPr>
                <w:sz w:val="24"/>
              </w:rPr>
            </w:r>
          </w:p>
        </w:tc>
        <w:tc>
          <w:tcPr>
            <w:tcW w:w="495" w:type="dxa"/>
            <w:vAlign w:val="bottom"/>
            <w:tcBorders>
              <w:top w:val="nil"/>
              <w:left w:val="nil"/>
              <w:bottom w:val="single" w:sz="4"/>
              <w:right w:val="nil"/>
            </w:tcBorders>
          </w:tcPr>
          <w:p>
            <w:pPr>
              <w:pStyle w:val="0"/>
            </w:pPr>
            <w:r>
              <w:rPr>
                <w:sz w:val="24"/>
              </w:rPr>
            </w:r>
          </w:p>
        </w:tc>
        <w:tc>
          <w:tcPr>
            <w:tcW w:w="345" w:type="dxa"/>
            <w:vAlign w:val="bottom"/>
            <w:tcBorders>
              <w:top w:val="nil"/>
              <w:left w:val="nil"/>
              <w:bottom w:val="nil"/>
              <w:right w:val="nil"/>
            </w:tcBorders>
          </w:tcPr>
          <w:p>
            <w:pPr>
              <w:pStyle w:val="0"/>
            </w:pPr>
            <w:r>
              <w:rPr>
                <w:sz w:val="24"/>
              </w:rPr>
            </w:r>
          </w:p>
        </w:tc>
        <w:tc>
          <w:tcPr>
            <w:tcW w:w="1081" w:type="dxa"/>
            <w:vAlign w:val="bottom"/>
            <w:tcBorders>
              <w:top w:val="nil"/>
              <w:left w:val="nil"/>
              <w:bottom w:val="single" w:sz="4"/>
              <w:right w:val="nil"/>
            </w:tcBorders>
          </w:tcPr>
          <w:p>
            <w:pPr>
              <w:pStyle w:val="0"/>
            </w:pPr>
            <w:r>
              <w:rPr>
                <w:sz w:val="24"/>
              </w:rPr>
            </w:r>
          </w:p>
        </w:tc>
        <w:tc>
          <w:tcPr>
            <w:tcW w:w="481" w:type="dxa"/>
            <w:vAlign w:val="bottom"/>
            <w:tcBorders>
              <w:top w:val="nil"/>
              <w:left w:val="nil"/>
              <w:bottom w:val="nil"/>
              <w:right w:val="nil"/>
            </w:tcBorders>
          </w:tcPr>
          <w:p>
            <w:pPr>
              <w:pStyle w:val="0"/>
              <w:jc w:val="right"/>
            </w:pPr>
            <w:r>
              <w:rPr>
                <w:sz w:val="24"/>
              </w:rPr>
              <w:t xml:space="preserve">20</w:t>
            </w:r>
          </w:p>
        </w:tc>
        <w:tc>
          <w:tcPr>
            <w:tcW w:w="360" w:type="dxa"/>
            <w:vAlign w:val="bottom"/>
            <w:tcBorders>
              <w:top w:val="nil"/>
              <w:left w:val="nil"/>
              <w:bottom w:val="single" w:sz="4"/>
              <w:right w:val="nil"/>
            </w:tcBorders>
          </w:tcPr>
          <w:p>
            <w:pPr>
              <w:pStyle w:val="0"/>
            </w:pPr>
            <w:r>
              <w:rPr>
                <w:sz w:val="24"/>
              </w:rPr>
            </w:r>
          </w:p>
        </w:tc>
        <w:tc>
          <w:tcPr>
            <w:tcW w:w="422" w:type="dxa"/>
            <w:vAlign w:val="bottom"/>
            <w:tcBorders>
              <w:top w:val="nil"/>
              <w:left w:val="nil"/>
              <w:bottom w:val="nil"/>
              <w:right w:val="nil"/>
            </w:tcBorders>
          </w:tcPr>
          <w:p>
            <w:pPr>
              <w:pStyle w:val="0"/>
              <w:jc w:val="both"/>
            </w:pPr>
            <w:r>
              <w:rPr>
                <w:sz w:val="24"/>
              </w:rPr>
              <w:t xml:space="preserve">г.</w:t>
            </w:r>
          </w:p>
        </w:tc>
        <w:tc>
          <w:tcPr>
            <w:tcW w:w="340" w:type="dxa"/>
            <w:tcBorders>
              <w:top w:val="nil"/>
              <w:left w:val="nil"/>
              <w:bottom w:val="nil"/>
              <w:right w:val="nil"/>
            </w:tcBorders>
          </w:tcPr>
          <w:p>
            <w:pPr>
              <w:pStyle w:val="0"/>
            </w:pPr>
            <w:r>
              <w:rPr>
                <w:sz w:val="24"/>
              </w:rPr>
            </w:r>
          </w:p>
        </w:tc>
        <w:tc>
          <w:tcPr>
            <w:tcW w:w="5102" w:type="dxa"/>
            <w:tcBorders>
              <w:top w:val="nil"/>
              <w:left w:val="nil"/>
              <w:bottom w:val="single" w:sz="4"/>
              <w:right w:val="nil"/>
            </w:tcBorders>
          </w:tcPr>
          <w:p>
            <w:pPr>
              <w:pStyle w:val="0"/>
            </w:pPr>
            <w:r>
              <w:rPr>
                <w:sz w:val="24"/>
              </w:rPr>
            </w:r>
          </w:p>
        </w:tc>
      </w:tr>
      <w:tr>
        <w:tc>
          <w:tcPr>
            <w:gridSpan w:val="7"/>
            <w:tcW w:w="3581" w:type="dxa"/>
            <w:vAlign w:val="bottom"/>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5102" w:type="dxa"/>
            <w:tcBorders>
              <w:top w:val="single" w:sz="4"/>
              <w:left w:val="nil"/>
              <w:bottom w:val="nil"/>
              <w:right w:val="nil"/>
            </w:tcBorders>
          </w:tcPr>
          <w:p>
            <w:pPr>
              <w:pStyle w:val="0"/>
              <w:jc w:val="center"/>
            </w:pPr>
            <w:r>
              <w:rPr>
                <w:sz w:val="24"/>
              </w:rPr>
              <w:t xml:space="preserve">(подпись совершеннолетнего члена семьи военнослужащего, инициалы, фамилия)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8957"/>
      </w:tblGrid>
      <w:tr>
        <w:tc>
          <w:tcPr>
            <w:tcW w:w="8957" w:type="dxa"/>
            <w:vAlign w:val="bottom"/>
            <w:tcBorders>
              <w:top w:val="nil"/>
              <w:left w:val="nil"/>
              <w:bottom w:val="nil"/>
              <w:right w:val="nil"/>
            </w:tcBorders>
          </w:tcPr>
          <w:p>
            <w:pPr>
              <w:pStyle w:val="0"/>
              <w:ind w:firstLine="283"/>
              <w:jc w:val="both"/>
            </w:pPr>
            <w:r>
              <w:rPr>
                <w:sz w:val="24"/>
              </w:rPr>
              <w:t xml:space="preserve">К рапорту прилагаются следующие документы:</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44"/>
        <w:gridCol w:w="4025"/>
        <w:gridCol w:w="1742"/>
        <w:gridCol w:w="2608"/>
      </w:tblGrid>
      <w:tr>
        <w:tc>
          <w:tcPr>
            <w:tcW w:w="644" w:type="dxa"/>
          </w:tcPr>
          <w:p>
            <w:pPr>
              <w:pStyle w:val="0"/>
              <w:jc w:val="center"/>
            </w:pPr>
            <w:r>
              <w:rPr>
                <w:sz w:val="24"/>
              </w:rPr>
              <w:t xml:space="preserve">N п/п</w:t>
            </w:r>
          </w:p>
        </w:tc>
        <w:tc>
          <w:tcPr>
            <w:tcW w:w="4025" w:type="dxa"/>
          </w:tcPr>
          <w:p>
            <w:pPr>
              <w:pStyle w:val="0"/>
              <w:jc w:val="center"/>
            </w:pPr>
            <w:r>
              <w:rPr>
                <w:sz w:val="24"/>
              </w:rPr>
              <w:t xml:space="preserve">Наименование документа</w:t>
            </w:r>
          </w:p>
        </w:tc>
        <w:tc>
          <w:tcPr>
            <w:tcW w:w="1742" w:type="dxa"/>
          </w:tcPr>
          <w:p>
            <w:pPr>
              <w:pStyle w:val="0"/>
              <w:jc w:val="center"/>
            </w:pPr>
            <w:r>
              <w:rPr>
                <w:sz w:val="24"/>
              </w:rPr>
              <w:t xml:space="preserve">Количество листов</w:t>
            </w:r>
          </w:p>
        </w:tc>
        <w:tc>
          <w:tcPr>
            <w:tcW w:w="2608" w:type="dxa"/>
          </w:tcPr>
          <w:p>
            <w:pPr>
              <w:pStyle w:val="0"/>
              <w:jc w:val="center"/>
            </w:pPr>
            <w:r>
              <w:rPr>
                <w:sz w:val="24"/>
              </w:rPr>
              <w:t xml:space="preserve">Примечание</w:t>
            </w:r>
          </w:p>
        </w:tc>
      </w:tr>
      <w:tr>
        <w:tc>
          <w:tcPr>
            <w:tcW w:w="644" w:type="dxa"/>
          </w:tcPr>
          <w:p>
            <w:pPr>
              <w:pStyle w:val="0"/>
            </w:pPr>
            <w:r>
              <w:rPr>
                <w:sz w:val="24"/>
              </w:rPr>
            </w:r>
          </w:p>
        </w:tc>
        <w:tc>
          <w:tcPr>
            <w:tcW w:w="4025" w:type="dxa"/>
          </w:tcPr>
          <w:p>
            <w:pPr>
              <w:pStyle w:val="0"/>
            </w:pPr>
            <w:r>
              <w:rPr>
                <w:sz w:val="24"/>
              </w:rPr>
            </w:r>
          </w:p>
        </w:tc>
        <w:tc>
          <w:tcPr>
            <w:tcW w:w="1742" w:type="dxa"/>
          </w:tcPr>
          <w:p>
            <w:pPr>
              <w:pStyle w:val="0"/>
            </w:pPr>
            <w:r>
              <w:rPr>
                <w:sz w:val="24"/>
              </w:rPr>
            </w:r>
          </w:p>
        </w:tc>
        <w:tc>
          <w:tcPr>
            <w:tcW w:w="2608"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97"/>
        <w:gridCol w:w="495"/>
        <w:gridCol w:w="345"/>
        <w:gridCol w:w="1020"/>
        <w:gridCol w:w="481"/>
        <w:gridCol w:w="360"/>
        <w:gridCol w:w="422"/>
        <w:gridCol w:w="340"/>
        <w:gridCol w:w="2385"/>
        <w:gridCol w:w="340"/>
        <w:gridCol w:w="2402"/>
      </w:tblGrid>
      <w:tr>
        <w:tc>
          <w:tcPr>
            <w:tcW w:w="397" w:type="dxa"/>
            <w:vAlign w:val="bottom"/>
            <w:tcBorders>
              <w:top w:val="nil"/>
              <w:left w:val="nil"/>
              <w:bottom w:val="nil"/>
              <w:right w:val="nil"/>
            </w:tcBorders>
          </w:tcPr>
          <w:p>
            <w:pPr>
              <w:pStyle w:val="0"/>
            </w:pPr>
            <w:r>
              <w:rPr>
                <w:sz w:val="24"/>
              </w:rPr>
            </w:r>
          </w:p>
        </w:tc>
        <w:tc>
          <w:tcPr>
            <w:tcW w:w="495" w:type="dxa"/>
            <w:vAlign w:val="bottom"/>
            <w:tcBorders>
              <w:top w:val="nil"/>
              <w:left w:val="nil"/>
              <w:bottom w:val="single" w:sz="4"/>
              <w:right w:val="nil"/>
            </w:tcBorders>
          </w:tcPr>
          <w:p>
            <w:pPr>
              <w:pStyle w:val="0"/>
            </w:pPr>
            <w:r>
              <w:rPr>
                <w:sz w:val="24"/>
              </w:rPr>
            </w:r>
          </w:p>
        </w:tc>
        <w:tc>
          <w:tcPr>
            <w:tcW w:w="345" w:type="dxa"/>
            <w:vAlign w:val="bottom"/>
            <w:tcBorders>
              <w:top w:val="nil"/>
              <w:left w:val="nil"/>
              <w:bottom w:val="nil"/>
              <w:right w:val="nil"/>
            </w:tcBorders>
          </w:tcPr>
          <w:p>
            <w:pPr>
              <w:pStyle w:val="0"/>
            </w:pPr>
            <w:r>
              <w:rPr>
                <w:sz w:val="24"/>
              </w:rPr>
            </w:r>
          </w:p>
        </w:tc>
        <w:tc>
          <w:tcPr>
            <w:tcW w:w="1020" w:type="dxa"/>
            <w:vAlign w:val="bottom"/>
            <w:tcBorders>
              <w:top w:val="nil"/>
              <w:left w:val="nil"/>
              <w:bottom w:val="single" w:sz="4"/>
              <w:right w:val="nil"/>
            </w:tcBorders>
          </w:tcPr>
          <w:p>
            <w:pPr>
              <w:pStyle w:val="0"/>
            </w:pPr>
            <w:r>
              <w:rPr>
                <w:sz w:val="24"/>
              </w:rPr>
            </w:r>
          </w:p>
        </w:tc>
        <w:tc>
          <w:tcPr>
            <w:tcW w:w="481" w:type="dxa"/>
            <w:vAlign w:val="bottom"/>
            <w:tcBorders>
              <w:top w:val="nil"/>
              <w:left w:val="nil"/>
              <w:bottom w:val="nil"/>
              <w:right w:val="nil"/>
            </w:tcBorders>
          </w:tcPr>
          <w:p>
            <w:pPr>
              <w:pStyle w:val="0"/>
              <w:jc w:val="right"/>
            </w:pPr>
            <w:r>
              <w:rPr>
                <w:sz w:val="24"/>
              </w:rPr>
              <w:t xml:space="preserve">20</w:t>
            </w:r>
          </w:p>
        </w:tc>
        <w:tc>
          <w:tcPr>
            <w:tcW w:w="360" w:type="dxa"/>
            <w:vAlign w:val="bottom"/>
            <w:tcBorders>
              <w:top w:val="nil"/>
              <w:left w:val="nil"/>
              <w:bottom w:val="single" w:sz="4"/>
              <w:right w:val="nil"/>
            </w:tcBorders>
          </w:tcPr>
          <w:p>
            <w:pPr>
              <w:pStyle w:val="0"/>
            </w:pPr>
            <w:r>
              <w:rPr>
                <w:sz w:val="24"/>
              </w:rPr>
            </w:r>
          </w:p>
        </w:tc>
        <w:tc>
          <w:tcPr>
            <w:tcW w:w="422" w:type="dxa"/>
            <w:vAlign w:val="bottom"/>
            <w:tcBorders>
              <w:top w:val="nil"/>
              <w:left w:val="nil"/>
              <w:bottom w:val="nil"/>
              <w:right w:val="nil"/>
            </w:tcBorders>
          </w:tcPr>
          <w:p>
            <w:pPr>
              <w:pStyle w:val="0"/>
              <w:jc w:val="both"/>
            </w:pPr>
            <w:r>
              <w:rPr>
                <w:sz w:val="24"/>
              </w:rPr>
              <w:t xml:space="preserve">г.</w:t>
            </w:r>
          </w:p>
        </w:tc>
        <w:tc>
          <w:tcPr>
            <w:tcW w:w="340" w:type="dxa"/>
            <w:tcBorders>
              <w:top w:val="nil"/>
              <w:left w:val="nil"/>
              <w:bottom w:val="nil"/>
              <w:right w:val="nil"/>
            </w:tcBorders>
          </w:tcPr>
          <w:p>
            <w:pPr>
              <w:pStyle w:val="0"/>
            </w:pPr>
            <w:r>
              <w:rPr>
                <w:sz w:val="24"/>
              </w:rPr>
            </w:r>
          </w:p>
        </w:tc>
        <w:tc>
          <w:tcPr>
            <w:tcW w:w="2385"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402" w:type="dxa"/>
            <w:tcBorders>
              <w:top w:val="nil"/>
              <w:left w:val="nil"/>
              <w:bottom w:val="single" w:sz="4"/>
              <w:right w:val="nil"/>
            </w:tcBorders>
          </w:tcPr>
          <w:p>
            <w:pPr>
              <w:pStyle w:val="0"/>
            </w:pPr>
            <w:r>
              <w:rPr>
                <w:sz w:val="24"/>
              </w:rPr>
            </w:r>
          </w:p>
        </w:tc>
      </w:tr>
      <w:tr>
        <w:tc>
          <w:tcPr>
            <w:tcW w:w="397" w:type="dxa"/>
            <w:tcBorders>
              <w:top w:val="nil"/>
              <w:left w:val="nil"/>
              <w:bottom w:val="nil"/>
              <w:right w:val="nil"/>
            </w:tcBorders>
          </w:tcPr>
          <w:p>
            <w:pPr>
              <w:pStyle w:val="0"/>
            </w:pPr>
            <w:r>
              <w:rPr>
                <w:sz w:val="24"/>
              </w:rPr>
            </w:r>
          </w:p>
        </w:tc>
        <w:tc>
          <w:tcPr>
            <w:tcW w:w="495" w:type="dxa"/>
            <w:vAlign w:val="bottom"/>
            <w:tcBorders>
              <w:top w:val="single" w:sz="4"/>
              <w:left w:val="nil"/>
              <w:bottom w:val="nil"/>
              <w:right w:val="nil"/>
            </w:tcBorders>
          </w:tcPr>
          <w:p>
            <w:pPr>
              <w:pStyle w:val="0"/>
            </w:pPr>
            <w:r>
              <w:rPr>
                <w:sz w:val="24"/>
              </w:rPr>
            </w:r>
          </w:p>
        </w:tc>
        <w:tc>
          <w:tcPr>
            <w:tcW w:w="345" w:type="dxa"/>
            <w:vAlign w:val="bottom"/>
            <w:tcBorders>
              <w:top w:val="nil"/>
              <w:left w:val="nil"/>
              <w:bottom w:val="nil"/>
              <w:right w:val="nil"/>
            </w:tcBorders>
          </w:tcPr>
          <w:p>
            <w:pPr>
              <w:pStyle w:val="0"/>
            </w:pPr>
            <w:r>
              <w:rPr>
                <w:sz w:val="24"/>
              </w:rPr>
            </w:r>
          </w:p>
        </w:tc>
        <w:tc>
          <w:tcPr>
            <w:tcW w:w="1020" w:type="dxa"/>
            <w:vAlign w:val="bottom"/>
            <w:tcBorders>
              <w:top w:val="single" w:sz="4"/>
              <w:left w:val="nil"/>
              <w:bottom w:val="nil"/>
              <w:right w:val="nil"/>
            </w:tcBorders>
          </w:tcPr>
          <w:p>
            <w:pPr>
              <w:pStyle w:val="0"/>
            </w:pPr>
            <w:r>
              <w:rPr>
                <w:sz w:val="24"/>
              </w:rPr>
            </w:r>
          </w:p>
        </w:tc>
        <w:tc>
          <w:tcPr>
            <w:tcW w:w="481" w:type="dxa"/>
            <w:vAlign w:val="bottom"/>
            <w:tcBorders>
              <w:top w:val="nil"/>
              <w:left w:val="nil"/>
              <w:bottom w:val="nil"/>
              <w:right w:val="nil"/>
            </w:tcBorders>
          </w:tcPr>
          <w:p>
            <w:pPr>
              <w:pStyle w:val="0"/>
            </w:pPr>
            <w:r>
              <w:rPr>
                <w:sz w:val="24"/>
              </w:rPr>
            </w:r>
          </w:p>
        </w:tc>
        <w:tc>
          <w:tcPr>
            <w:tcW w:w="360" w:type="dxa"/>
            <w:vAlign w:val="bottom"/>
            <w:tcBorders>
              <w:top w:val="single" w:sz="4"/>
              <w:left w:val="nil"/>
              <w:bottom w:val="nil"/>
              <w:right w:val="nil"/>
            </w:tcBorders>
          </w:tcPr>
          <w:p>
            <w:pPr>
              <w:pStyle w:val="0"/>
            </w:pPr>
            <w:r>
              <w:rPr>
                <w:sz w:val="24"/>
              </w:rPr>
            </w:r>
          </w:p>
        </w:tc>
        <w:tc>
          <w:tcPr>
            <w:tcW w:w="422" w:type="dxa"/>
            <w:vAlign w:val="bottom"/>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385" w:type="dxa"/>
            <w:tcBorders>
              <w:top w:val="single" w:sz="4"/>
              <w:left w:val="nil"/>
              <w:bottom w:val="nil"/>
              <w:right w:val="nil"/>
            </w:tcBorders>
          </w:tcPr>
          <w:p>
            <w:pPr>
              <w:pStyle w:val="0"/>
              <w:jc w:val="center"/>
            </w:pPr>
            <w:r>
              <w:rPr>
                <w:sz w:val="24"/>
              </w:rPr>
              <w:t xml:space="preserve">(подпись военнослужащего)</w:t>
            </w:r>
          </w:p>
        </w:tc>
        <w:tc>
          <w:tcPr>
            <w:tcW w:w="340" w:type="dxa"/>
            <w:tcBorders>
              <w:top w:val="nil"/>
              <w:left w:val="nil"/>
              <w:bottom w:val="nil"/>
              <w:right w:val="nil"/>
            </w:tcBorders>
          </w:tcPr>
          <w:p>
            <w:pPr>
              <w:pStyle w:val="0"/>
            </w:pPr>
            <w:r>
              <w:rPr>
                <w:sz w:val="24"/>
              </w:rPr>
            </w:r>
          </w:p>
        </w:tc>
        <w:tc>
          <w:tcPr>
            <w:tcW w:w="2402" w:type="dxa"/>
            <w:tcBorders>
              <w:top w:val="single" w:sz="4"/>
              <w:left w:val="nil"/>
              <w:bottom w:val="nil"/>
              <w:right w:val="nil"/>
            </w:tcBorders>
          </w:tcPr>
          <w:p>
            <w:pPr>
              <w:pStyle w:val="0"/>
              <w:jc w:val="center"/>
            </w:pPr>
            <w:r>
              <w:rPr>
                <w:sz w:val="24"/>
              </w:rPr>
              <w:t xml:space="preserve">(инициалы, фамилия)</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Генпрокуратуры России от 04.12.2025 N 838</w:t>
            <w:br/>
            <w:t>"Об утверждении Порядка организации в органах военной прокуратуры деяте...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Генпрокуратуры России от 04.12.2025 N 838</w:t>
            <w:br/>
            <w:t>"Об утверждении Порядка организации в органах военной прокуратуры деяте...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9409&amp;date=08.12.2025&amp;dst=762&amp;field=134&amp;demo=2" TargetMode = "External"/><Relationship Id="rId9" Type="http://schemas.openxmlformats.org/officeDocument/2006/relationships/hyperlink" Target="https://login.consultant.ru/link/?req=doc&amp;base=LAW&amp;n=497787&amp;date=08.12.2025&amp;dst=100548&amp;field=134&amp;demo=2" TargetMode = "External"/><Relationship Id="rId10" Type="http://schemas.openxmlformats.org/officeDocument/2006/relationships/hyperlink" Target="https://login.consultant.ru/link/?req=doc&amp;base=LAW&amp;n=509409&amp;date=08.12.2025&amp;demo=2" TargetMode = "External"/><Relationship Id="rId11" Type="http://schemas.openxmlformats.org/officeDocument/2006/relationships/hyperlink" Target="https://login.consultant.ru/link/?req=doc&amp;base=LAW&amp;n=493212&amp;date=08.12.2025&amp;demo=2" TargetMode = "External"/><Relationship Id="rId12" Type="http://schemas.openxmlformats.org/officeDocument/2006/relationships/hyperlink" Target="https://login.consultant.ru/link/?req=doc&amp;base=LAW&amp;n=517978&amp;date=08.12.2025&amp;dst=100015&amp;field=134&amp;demo=2" TargetMode = "External"/><Relationship Id="rId13" Type="http://schemas.openxmlformats.org/officeDocument/2006/relationships/hyperlink" Target="https://login.consultant.ru/link/?req=doc&amp;base=LAW&amp;n=493212&amp;date=08.12.2025&amp;dst=100026&amp;field=134&amp;demo=2" TargetMode = "External"/><Relationship Id="rId14" Type="http://schemas.openxmlformats.org/officeDocument/2006/relationships/hyperlink" Target="https://login.consultant.ru/link/?req=doc&amp;base=LAW&amp;n=509409&amp;date=08.12.2025&amp;dst=763&amp;field=134&amp;demo=2" TargetMode = "External"/><Relationship Id="rId15" Type="http://schemas.openxmlformats.org/officeDocument/2006/relationships/hyperlink" Target="https://login.consultant.ru/link/?req=doc&amp;base=LAW&amp;n=517978&amp;date=08.12.2025&amp;dst=100015&amp;field=134&amp;demo=2" TargetMode = "External"/><Relationship Id="rId16" Type="http://schemas.openxmlformats.org/officeDocument/2006/relationships/hyperlink" Target="https://login.consultant.ru/link/?req=doc&amp;base=LAW&amp;n=509409&amp;date=08.12.2025&amp;dst=765&amp;field=134&amp;demo=2" TargetMode = "External"/><Relationship Id="rId17" Type="http://schemas.openxmlformats.org/officeDocument/2006/relationships/hyperlink" Target="https://login.consultant.ru/link/?req=doc&amp;base=LAW&amp;n=509409&amp;date=08.12.2025&amp;dst=774&amp;field=134&amp;demo=2" TargetMode = "External"/><Relationship Id="rId18" Type="http://schemas.openxmlformats.org/officeDocument/2006/relationships/hyperlink" Target="https://login.consultant.ru/link/?req=doc&amp;base=LAW&amp;n=509409&amp;date=08.12.2025&amp;dst=764&amp;field=134&amp;demo=2" TargetMode = "External"/><Relationship Id="rId19" Type="http://schemas.openxmlformats.org/officeDocument/2006/relationships/hyperlink" Target="https://login.consultant.ru/link/?req=doc&amp;base=LAW&amp;n=509409&amp;date=08.12.2025&amp;dst=775&amp;field=134&amp;demo=2" TargetMode = "External"/><Relationship Id="rId20" Type="http://schemas.openxmlformats.org/officeDocument/2006/relationships/header" Target="header2.xml"/><Relationship Id="rId21" Type="http://schemas.openxmlformats.org/officeDocument/2006/relationships/footer" Target="footer2.xml"/><Relationship Id="rId22" Type="http://schemas.openxmlformats.org/officeDocument/2006/relationships/hyperlink" Target="https://login.consultant.ru/link/?req=doc&amp;base=LAW&amp;n=509409&amp;date=08.12.2025&amp;dst=763&amp;field=134&amp;demo=2" TargetMode = "External"/><Relationship Id="rId23" Type="http://schemas.openxmlformats.org/officeDocument/2006/relationships/hyperlink" Target="https://login.consultant.ru/link/?req=doc&amp;base=LAW&amp;n=509409&amp;date=08.12.2025&amp;dst=764&amp;field=134&amp;demo=2" TargetMode = "External"/><Relationship Id="rId24" Type="http://schemas.openxmlformats.org/officeDocument/2006/relationships/hyperlink" Target="https://login.consultant.ru/link/?req=doc&amp;base=LAW&amp;n=509409&amp;date=08.12.2025&amp;dst=775&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Генпрокуратуры России от 04.12.2025 N 838
"Об утверждении Порядка организации в органах военной прокуратуры деятельности по учету лиц, зарегистрированных органами регистрационного учета по месту жительства по адресам военных прокуратур, и снятию указанных лиц с такого учета"</dc:title>
  <dcterms:created xsi:type="dcterms:W3CDTF">2025-12-08T14:18:42Z</dcterms:created>
</cp:coreProperties>
</file>