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11 ноября 2025 г. N 31150-ОГ/00</w:t>
      </w:r>
    </w:p>
    <w:p>
      <w:pPr>
        <w:pStyle w:val="0"/>
        <w:ind w:firstLine="540"/>
        <w:jc w:val="both"/>
      </w:pPr>
      <w:r>
        <w:rPr>
          <w:sz w:val="24"/>
        </w:rPr>
      </w:r>
    </w:p>
    <w:p>
      <w:pPr>
        <w:pStyle w:val="0"/>
        <w:ind w:firstLine="540"/>
        <w:jc w:val="both"/>
      </w:pPr>
      <w:r>
        <w:rPr>
          <w:sz w:val="24"/>
        </w:rPr>
        <w:t xml:space="preserve">Отдел управления жилищным фондом и предоставления коммунальных услуг Департамента развития жилищно-коммунального хозяйства Минстроя России рассмотрел обращение и в пределах своей компетенции сообщает следующее.</w:t>
      </w:r>
    </w:p>
    <w:p>
      <w:pPr>
        <w:pStyle w:val="0"/>
        <w:spacing w:before="240" w:lineRule="auto"/>
        <w:ind w:firstLine="540"/>
        <w:jc w:val="both"/>
      </w:pPr>
      <w:hyperlink w:history="0" r:id="rId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1 статьи 290</w:t>
        </w:r>
      </w:hyperlink>
      <w:r>
        <w:rPr>
          <w:sz w:val="24"/>
        </w:rPr>
        <w:t xml:space="preserve"> Гражданского кодекса Российской Федерации (далее - ГК РФ), </w:t>
      </w:r>
      <w:hyperlink w:history="0" r:id="rId8"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частью 1 статьи 36</w:t>
        </w:r>
      </w:hyperlink>
      <w:r>
        <w:rPr>
          <w:sz w:val="24"/>
        </w:rPr>
        <w:t xml:space="preserve"> Жилищного кодекса Российской Федерации (далее - ЖК РФ), </w:t>
      </w:r>
      <w:hyperlink w:history="0" r:id="rId9"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пунктами 2</w:t>
        </w:r>
      </w:hyperlink>
      <w:r>
        <w:rPr>
          <w:sz w:val="24"/>
        </w:rPr>
        <w:t xml:space="preserve">, </w:t>
      </w:r>
      <w:hyperlink w:history="0" r:id="rId10"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5</w:t>
        </w:r>
      </w:hyperlink>
      <w:r>
        <w:rPr>
          <w:sz w:val="24"/>
        </w:rPr>
        <w:t xml:space="preserve">, </w:t>
      </w:r>
      <w:hyperlink w:history="0" r:id="rId1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6</w:t>
        </w:r>
      </w:hyperlink>
      <w:r>
        <w:rPr>
          <w:sz w:val="24"/>
        </w:rPr>
        <w:t xml:space="preserve">, </w:t>
      </w:r>
      <w:hyperlink w:history="0" r:id="rId12"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7</w:t>
        </w:r>
      </w:hyperlink>
      <w:r>
        <w:rPr>
          <w:sz w:val="24"/>
        </w:rPr>
        <w:t xml:space="preserve"> Правил содержания общего имущества, утвержденных постановлением Правительства Российской Федерации от 13.08.2006 N 491 (далее - Правила N 491), определен состав общего имущества собственников помещений в многоквартирном доме.</w:t>
      </w:r>
    </w:p>
    <w:p>
      <w:pPr>
        <w:pStyle w:val="0"/>
        <w:spacing w:before="240" w:lineRule="auto"/>
        <w:ind w:firstLine="540"/>
        <w:jc w:val="both"/>
      </w:pPr>
      <w:r>
        <w:rPr>
          <w:sz w:val="24"/>
        </w:rPr>
        <w:t xml:space="preserve">Согласно </w:t>
      </w:r>
      <w:hyperlink w:history="0" r:id="rId13"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пунктам 3</w:t>
        </w:r>
      </w:hyperlink>
      <w:r>
        <w:rPr>
          <w:sz w:val="24"/>
        </w:rPr>
        <w:t xml:space="preserve">, </w:t>
      </w:r>
      <w:hyperlink w:history="0" r:id="rId14"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4</w:t>
        </w:r>
      </w:hyperlink>
      <w:r>
        <w:rPr>
          <w:sz w:val="24"/>
        </w:rPr>
        <w:t xml:space="preserve"> Правил N 491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pPr>
        <w:pStyle w:val="0"/>
        <w:spacing w:before="240" w:lineRule="auto"/>
        <w:ind w:firstLine="540"/>
        <w:jc w:val="both"/>
      </w:pPr>
      <w:r>
        <w:rPr>
          <w:sz w:val="24"/>
        </w:rPr>
        <w:t xml:space="preserve">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приоритет имеют сведения, содержащиеся в Реестре.</w:t>
      </w:r>
    </w:p>
    <w:p>
      <w:pPr>
        <w:pStyle w:val="0"/>
        <w:spacing w:before="240" w:lineRule="auto"/>
        <w:ind w:firstLine="540"/>
        <w:jc w:val="both"/>
      </w:pPr>
      <w:r>
        <w:rPr>
          <w:sz w:val="24"/>
        </w:rPr>
        <w:t xml:space="preserve">Состав общего имущества определяется:</w:t>
      </w:r>
    </w:p>
    <w:p>
      <w:pPr>
        <w:pStyle w:val="0"/>
        <w:spacing w:before="240" w:lineRule="auto"/>
        <w:ind w:firstLine="540"/>
        <w:jc w:val="both"/>
      </w:pPr>
      <w:r>
        <w:rPr>
          <w:sz w:val="24"/>
        </w:rPr>
        <w:t xml:space="preserve">а) собственниками помещений в многоквартирном доме - в целях выполнения обязанности по содержанию общего имущества (состав общего имущества многоквартирного дома, в отношении которого будет осуществляться управление, указывается в договоре управления многоквартирным домом в соответствии с </w:t>
      </w:r>
      <w:hyperlink w:history="0" r:id="rId15"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частью 3 статьи 162</w:t>
        </w:r>
      </w:hyperlink>
      <w:r>
        <w:rPr>
          <w:sz w:val="24"/>
        </w:rPr>
        <w:t xml:space="preserve"> ЖК РФ);</w:t>
      </w:r>
    </w:p>
    <w:p>
      <w:pPr>
        <w:pStyle w:val="0"/>
        <w:spacing w:before="240" w:lineRule="auto"/>
        <w:ind w:firstLine="540"/>
        <w:jc w:val="both"/>
      </w:pPr>
      <w:r>
        <w:rPr>
          <w:sz w:val="24"/>
        </w:rPr>
        <w:t xml:space="preserve">б) органами государственной власти - в целях контроля за содержанием общего имущества (нарушение обязательных требований к определению состава, содержанию и использованию общего имущества собственников помещений в многоквартирном доме является предметом проверки органом государственного жилищного надзора в соответствии с </w:t>
      </w:r>
      <w:hyperlink w:history="0" r:id="rId16" w:tooltip="Постановление Правительства РФ от 11.06.2013 N 493 (ред. от 13.09.2018) &quot;О государственном жилищном надзоре&quot; (вместе с &quot;Положением о государственном жилищном надзоре&quot;) ------------ Утратил силу или отменен {КонсультантПлюс}">
        <w:r>
          <w:rPr>
            <w:sz w:val="24"/>
            <w:color w:val="0000ff"/>
          </w:rPr>
          <w:t xml:space="preserve">пунктом 11</w:t>
        </w:r>
      </w:hyperlink>
      <w:r>
        <w:rPr>
          <w:sz w:val="24"/>
        </w:rPr>
        <w:t xml:space="preserve"> Положения о государственном жилищном надзоре, утвержденного постановлением Правительства Российской Федерации от 11.06.2013 N 493);</w:t>
      </w:r>
    </w:p>
    <w:p>
      <w:pPr>
        <w:pStyle w:val="0"/>
        <w:spacing w:before="240" w:lineRule="auto"/>
        <w:ind w:firstLine="540"/>
        <w:jc w:val="both"/>
      </w:pPr>
      <w:r>
        <w:rPr>
          <w:sz w:val="24"/>
        </w:rPr>
        <w:t xml:space="preserve">в) органами местного самоуправления - в целях подготовки и проведения открытого конкурса по отбору управляющей организации в соответствии с </w:t>
      </w:r>
      <w:hyperlink w:history="0" r:id="rId17"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частью 4 статьи 161</w:t>
        </w:r>
      </w:hyperlink>
      <w:r>
        <w:rPr>
          <w:sz w:val="24"/>
        </w:rPr>
        <w:t xml:space="preserve"> ЖК РФ (состав общего имущества, в отношении которого будет осуществляться управление, указывается в конкурсной документации в соответствии с </w:t>
      </w:r>
      <w:hyperlink w:history="0" r:id="rId18" w:tooltip="Постановление Правительства РФ от 06.02.2006 N 75 (ред. от 21.12.2018) &quot;О порядке проведения органом местного самоуправления открытого конкурса по отбору управляющей организации для управления многоквартирным домом&quot; {КонсультантПлюс}">
        <w:r>
          <w:rPr>
            <w:sz w:val="24"/>
            <w:color w:val="0000ff"/>
          </w:rPr>
          <w:t xml:space="preserve">Правилами</w:t>
        </w:r>
      </w:hyperlink>
      <w:r>
        <w:rPr>
          <w:sz w:val="24"/>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06.02.2006 N 75).</w:t>
      </w:r>
    </w:p>
    <w:p>
      <w:pPr>
        <w:pStyle w:val="0"/>
        <w:spacing w:before="240" w:lineRule="auto"/>
        <w:ind w:firstLine="540"/>
        <w:jc w:val="both"/>
      </w:pPr>
      <w:r>
        <w:rPr>
          <w:sz w:val="24"/>
        </w:rPr>
        <w:t xml:space="preserve">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должны быть указаны в договоре управления многоквартирным домом в соответствии со </w:t>
      </w:r>
      <w:hyperlink w:history="0" r:id="rId19" w:tooltip="&quot;Жилищный кодекс Российской Федерации&quot; от 29.12.2004 N 188-ФЗ (ред. от 04.11.2025) (с изм. и доп., вступ. в силу с 14.12.2025) {КонсультантПлюс}">
        <w:r>
          <w:rPr>
            <w:sz w:val="24"/>
            <w:color w:val="0000ff"/>
          </w:rPr>
          <w:t xml:space="preserve">статьей 162</w:t>
        </w:r>
      </w:hyperlink>
      <w:r>
        <w:rPr>
          <w:sz w:val="24"/>
        </w:rPr>
        <w:t xml:space="preserve"> ЖК РФ.</w:t>
      </w:r>
    </w:p>
    <w:p>
      <w:pPr>
        <w:pStyle w:val="0"/>
        <w:spacing w:before="240" w:lineRule="auto"/>
        <w:ind w:firstLine="540"/>
        <w:jc w:val="both"/>
      </w:pPr>
      <w:r>
        <w:rPr>
          <w:sz w:val="24"/>
        </w:rPr>
        <w:t xml:space="preserve">Минимальный перечень услуг и работ, необходимых для обеспечения надлежащего содержания общего имущества в многоквартирном доме, а также </w:t>
      </w:r>
      <w:hyperlink w:history="0" r:id="rId20" w:tooltip="Постановление Правительства РФ от 03.04.2013 N 290 (ред. от 07.03.2025)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правила</w:t>
        </w:r>
      </w:hyperlink>
      <w:r>
        <w:rPr>
          <w:sz w:val="24"/>
        </w:rPr>
        <w:t xml:space="preserve"> оказания услуг (выполнения работ) установлены постановлением Правительства Российской Федерации от 3 апреля 2013 г. N 290.</w:t>
      </w:r>
    </w:p>
    <w:p>
      <w:pPr>
        <w:pStyle w:val="0"/>
        <w:spacing w:before="240" w:lineRule="auto"/>
        <w:ind w:firstLine="540"/>
        <w:jc w:val="both"/>
      </w:pPr>
      <w:hyperlink w:history="0" r:id="rId2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 5</w:t>
        </w:r>
      </w:hyperlink>
      <w:r>
        <w:rPr>
          <w:sz w:val="24"/>
        </w:rPr>
        <w:t xml:space="preserve"> Правила N 491 определяет, что в состав общего имущества включаются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приборы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pPr>
        <w:pStyle w:val="0"/>
        <w:spacing w:before="240" w:lineRule="auto"/>
        <w:ind w:firstLine="540"/>
        <w:jc w:val="both"/>
      </w:pPr>
      <w:r>
        <w:rPr>
          <w:sz w:val="24"/>
        </w:rPr>
        <w:t xml:space="preserve">Таким образом, границей эксплуатационной ответственности между управляющей организацией и собственниками, по внутренней границе инженерных сетей, входящих в состав общего имущества в МКД для водоснабжения, является первый запорно-регулировочный кран на отводе внутриквартирной разводки от стояков.</w:t>
      </w:r>
    </w:p>
    <w:p>
      <w:pPr>
        <w:pStyle w:val="0"/>
        <w:spacing w:before="240" w:lineRule="auto"/>
        <w:ind w:firstLine="540"/>
        <w:jc w:val="both"/>
      </w:pPr>
      <w:hyperlink w:history="0" r:id="rId22"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6</w:t>
        </w:r>
      </w:hyperlink>
      <w:r>
        <w:rPr>
          <w:sz w:val="24"/>
        </w:rPr>
        <w:t xml:space="preserve"> Правил N 491 предусмотрено, что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 включается в состав общего имущества. Указанным положением не установлена граница между элементами системы отопления, входящей в состав общего имущества, и элементами системы отопления, находящимися в индивидуальной собственности собственника конкретного помещения. Таким образом, вся система отопления является общим имуществом собственников помещений в многоквартирном доме.</w:t>
      </w:r>
    </w:p>
    <w:p>
      <w:pPr>
        <w:pStyle w:val="0"/>
        <w:spacing w:before="240" w:lineRule="auto"/>
        <w:ind w:firstLine="540"/>
        <w:jc w:val="both"/>
      </w:pPr>
      <w:r>
        <w:rPr>
          <w:sz w:val="24"/>
        </w:rPr>
        <w:t xml:space="preserve">Вместе с тем, согласно правовой позиции, изложенной в </w:t>
      </w:r>
      <w:hyperlink w:history="0" r:id="rId23" w:tooltip="Решение Верховного Суда РФ от 22.09.2009 N ГКПИ09-725 &lt;Об отказе в удовлетворении заявления о признании частично недействующим пункта 6 Правил содержания общего имущества в многоквартирном доме, утвержденных постановлением Правительства Российской Федерации от 13.08.2006 N 491&gt; {КонсультантПлюс}">
        <w:r>
          <w:rPr>
            <w:sz w:val="24"/>
            <w:color w:val="0000ff"/>
          </w:rPr>
          <w:t xml:space="preserve">Решении</w:t>
        </w:r>
      </w:hyperlink>
      <w:r>
        <w:rPr>
          <w:sz w:val="24"/>
        </w:rPr>
        <w:t xml:space="preserve"> Верховного Суда Российской Федерации от 22.09.2009 N ГКПИ09-725, в случае если на отводах от трубопровода (стояка) отопления к радиатору отопления, находящемуся в помещении и предназначенному для отопления исключительно указанного помещения, имеются запорно-регулировочные краны, позволяющие перекрыть подачу теплоносителя в радиатор отопления и демонтировать такой радиатор, тогда указанный радиатор принадлежит на праве собственности собственнику соответствующего помещения.</w:t>
      </w:r>
    </w:p>
    <w:p>
      <w:pPr>
        <w:pStyle w:val="0"/>
        <w:spacing w:before="240" w:lineRule="auto"/>
        <w:ind w:firstLine="540"/>
        <w:jc w:val="both"/>
      </w:pPr>
      <w:r>
        <w:rPr>
          <w:sz w:val="24"/>
        </w:rPr>
        <w:t xml:space="preserve">Таким образом, согласно правовой позиции Верховного суда Российской Федерации обогревающие элементы (радиаторы) внутридомовой системы отопления, обслуживающие только одну квартиру, в том числе имеющие отключающие устройства (запорную арматуру), использование которых не повлечет за собой нарушение прав и законных интересов иных собственников помещений многоквартирного дома, в состав общего имущества собственников помещений многоквартирного дома не включаются.</w:t>
      </w:r>
    </w:p>
    <w:p>
      <w:pPr>
        <w:pStyle w:val="0"/>
        <w:spacing w:before="240" w:lineRule="auto"/>
        <w:ind w:firstLine="540"/>
        <w:jc w:val="both"/>
      </w:pPr>
      <w:r>
        <w:rPr>
          <w:sz w:val="24"/>
        </w:rPr>
        <w:t xml:space="preserve">В указанном случае границей эксплуатационной ответственности является первый запорно-регулировочный кран на отводе внутриквартирной разводки системы отопления, при этом первый запорно-регулировочный кран на отводе внутриквартирной разводки системы отопления от стояков входит в состав общего имущества в многоквартирном доме.</w:t>
      </w:r>
    </w:p>
    <w:p>
      <w:pPr>
        <w:pStyle w:val="0"/>
        <w:spacing w:before="240" w:lineRule="auto"/>
        <w:ind w:firstLine="540"/>
        <w:jc w:val="both"/>
      </w:pPr>
      <w:hyperlink w:history="0" r:id="rId24"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Абзацем 2 пункта 5</w:t>
        </w:r>
      </w:hyperlink>
      <w:r>
        <w:rPr>
          <w:sz w:val="24"/>
        </w:rPr>
        <w:t xml:space="preserve"> Правил N 491 определено, что 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pPr>
        <w:pStyle w:val="0"/>
        <w:spacing w:before="240" w:lineRule="auto"/>
        <w:ind w:firstLine="540"/>
        <w:jc w:val="both"/>
      </w:pPr>
      <w:r>
        <w:rPr>
          <w:sz w:val="24"/>
        </w:rPr>
        <w:t xml:space="preserve">Инженерная система водоотведения, расположенная в жилом или нежилом помещении, обслуживает все жилые и (или) нежилые помещения, находящиеся в одной оси на одном стояке, следовательно, данная труба и ее составляющие элементы обслуживают более чем одну квартиру. Таким образом, труба канализационного стояка и ее элементы, расположенные в санузлах жилых и нежилых помещений, является общим имуществом собственников многоквартирного дома (общедомовым имуществом).</w:t>
      </w:r>
    </w:p>
    <w:p>
      <w:pPr>
        <w:pStyle w:val="0"/>
        <w:spacing w:before="240" w:lineRule="auto"/>
        <w:ind w:firstLine="540"/>
        <w:jc w:val="both"/>
      </w:pPr>
      <w:r>
        <w:rPr>
          <w:sz w:val="24"/>
        </w:rPr>
        <w:t xml:space="preserve">Учитывая тот факт, что труба канализационного стояка и ее элементы, расположенные в санузлах жилых и нежилых помещений, является общим имуществом собственников многоквартирного дома, как было установлено выше, их содержанием и ремонтом обязано заниматься лицо, управляющее данным многоквартирным домом.</w:t>
      </w:r>
    </w:p>
    <w:p>
      <w:pPr>
        <w:pStyle w:val="0"/>
        <w:spacing w:before="240" w:lineRule="auto"/>
        <w:ind w:firstLine="540"/>
        <w:jc w:val="both"/>
      </w:pPr>
      <w:r>
        <w:rPr>
          <w:sz w:val="24"/>
        </w:rPr>
        <w:t xml:space="preserve">Факт нахождения указанного оборудования в жилом помещении не означает, что оно используется для обслуживания исключительно данного помещения и не может быть отнесено к общему имуществу в многоквартирном доме, поскольку </w:t>
      </w:r>
      <w:hyperlink w:history="0" r:id="rId25" w:tooltip="&quot;Жилищный кодекс Российской Федерации&quot; от 29.12.2004 N 188-ФЗ (ред. от 04.11.2025) (с изм. и доп., вступ. в силу с 14.12.2025) {КонсультантПлюс}">
        <w:r>
          <w:rPr>
            <w:sz w:val="24"/>
            <w:color w:val="0000ff"/>
          </w:rPr>
          <w:t xml:space="preserve">подпункт 3 части 1 статьи 36</w:t>
        </w:r>
      </w:hyperlink>
      <w:r>
        <w:rPr>
          <w:sz w:val="24"/>
        </w:rPr>
        <w:t xml:space="preserve"> ЖК РФ предусматривает его местоположение как внутри, так и за пределами помещения. Это подтверждается судебным </w:t>
      </w:r>
      <w:hyperlink w:history="0" r:id="rId26" w:tooltip="Решение Верховного Суда РФ от 17.06.2013 N АКПИ13-512 &lt;Об отказе в удовлетворении заявления о признании недействующим абзаца второго пункта 5 Правил содержания общего имущества в многоквартирном доме, утв. Постановлением Правительства РФ от 13.08.2006 N 491&gt; {КонсультантПлюс}">
        <w:r>
          <w:rPr>
            <w:sz w:val="24"/>
            <w:color w:val="0000ff"/>
          </w:rPr>
          <w:t xml:space="preserve">решением</w:t>
        </w:r>
      </w:hyperlink>
      <w:r>
        <w:rPr>
          <w:sz w:val="24"/>
        </w:rPr>
        <w:t xml:space="preserve"> Верховного Суда Российской Федерации от 30.11.2011 N ГКПИ11-1787.</w:t>
      </w:r>
    </w:p>
    <w:p>
      <w:pPr>
        <w:pStyle w:val="0"/>
        <w:spacing w:before="240" w:lineRule="auto"/>
        <w:ind w:firstLine="540"/>
        <w:jc w:val="both"/>
      </w:pPr>
      <w:r>
        <w:rPr>
          <w:sz w:val="24"/>
        </w:rPr>
        <w:t xml:space="preserve">Вместе с тем, отводы от первых стыковых соединений с ответвлениями от стояка канализации предназначены для подключения к внутридомовой инженерной системе водоотведения санитарно-технического оборудования, обслуживающего не более одной квартиры, а следовательно, в силу указанных норм закона не могут быть отнесены к общему имуществу многоквартирного дома (</w:t>
      </w:r>
      <w:hyperlink w:history="0" r:id="rId27" w:tooltip="Решение Верховного Суда РФ от 17.06.2013 N АКПИ13-512 &lt;Об отказе в удовлетворении заявления о признании недействующим абзаца второго пункта 5 Правил содержания общего имущества в многоквартирном доме, утв. Постановлением Правительства РФ от 13.08.2006 N 491&gt; {КонсультантПлюс}">
        <w:r>
          <w:rPr>
            <w:sz w:val="24"/>
            <w:color w:val="0000ff"/>
          </w:rPr>
          <w:t xml:space="preserve">Решение</w:t>
        </w:r>
      </w:hyperlink>
      <w:r>
        <w:rPr>
          <w:sz w:val="24"/>
        </w:rPr>
        <w:t xml:space="preserve"> Верховного Суда РФ от 17.06.2013 дело N АКПИ13-512).</w:t>
      </w:r>
    </w:p>
    <w:p>
      <w:pPr>
        <w:pStyle w:val="0"/>
        <w:spacing w:before="240" w:lineRule="auto"/>
        <w:ind w:firstLine="540"/>
        <w:jc w:val="both"/>
      </w:pPr>
      <w:r>
        <w:rPr>
          <w:sz w:val="24"/>
        </w:rPr>
        <w:t xml:space="preserve">Стояк и стыковые соединения являются неотъемлемой частью сантехнических систем и играют важную роль в обеспечении комфортного и безопасного использования воды и канализации в зданиях.</w:t>
      </w:r>
    </w:p>
    <w:p>
      <w:pPr>
        <w:pStyle w:val="0"/>
        <w:spacing w:before="240" w:lineRule="auto"/>
        <w:ind w:firstLine="540"/>
        <w:jc w:val="both"/>
      </w:pPr>
      <w:r>
        <w:rPr>
          <w:sz w:val="24"/>
        </w:rPr>
        <w:t xml:space="preserve">Ответвления от стояков и первые стыковые соединения - важные элементы сантехнических систем, используемых для обеспечения подвода воды и эффективного отвода сточных вод. Ответвления от стояков - это участки трубопровода или канализационной системы, которые отходят от основного вертикального стояка. Эти ответвления играют роль в перенаправлении потока воды или стоков от различных сантехнических приборов.</w:t>
      </w:r>
    </w:p>
    <w:p>
      <w:pPr>
        <w:pStyle w:val="0"/>
        <w:spacing w:before="240" w:lineRule="auto"/>
        <w:ind w:firstLine="540"/>
        <w:jc w:val="both"/>
      </w:pPr>
      <w:r>
        <w:rPr>
          <w:sz w:val="24"/>
        </w:rPr>
        <w:t xml:space="preserve">Стыковые соединения - это соединительные элементы, используемые для присоединения различных труб и соединений в сантехнической системе. Они позволяют сделать герметическое соединение между различными элементами системы и обеспечить надежность и непрерывность подвода и отвода воды. Стыковые соединения могут быть различных типов, включая фланцевые соединения, резьбовые соединения, пресс-соединения и т.д. Каждый тип соединения имеет свои особенности и преимущества, и выбор типа зависит от конкретной сантехнической системы и требований коэффициента пропускания воды.</w:t>
      </w:r>
    </w:p>
    <w:p>
      <w:pPr>
        <w:pStyle w:val="0"/>
        <w:spacing w:before="240" w:lineRule="auto"/>
        <w:ind w:firstLine="540"/>
        <w:jc w:val="both"/>
      </w:pPr>
      <w:r>
        <w:rPr>
          <w:sz w:val="24"/>
        </w:rPr>
        <w:t xml:space="preserve">Первыми стыковыми соединениями называются соединения, которые связывают ответвления от стояков с горизонтальными трубопроводами.</w:t>
      </w:r>
    </w:p>
    <w:p>
      <w:pPr>
        <w:pStyle w:val="0"/>
        <w:spacing w:before="240" w:lineRule="auto"/>
        <w:ind w:firstLine="540"/>
        <w:jc w:val="both"/>
      </w:pPr>
      <w:r>
        <w:rPr>
          <w:sz w:val="24"/>
        </w:rPr>
        <w:t xml:space="preserve">В соответствии с </w:t>
      </w:r>
      <w:hyperlink w:history="0" r:id="rId28"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8</w:t>
        </w:r>
      </w:hyperlink>
      <w:r>
        <w:rPr>
          <w:sz w:val="24"/>
        </w:rPr>
        <w:t xml:space="preserve"> Правил N 491, внешней границей сетей тепло-, водоснабжения и водоотведения,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pPr>
        <w:pStyle w:val="0"/>
        <w:spacing w:before="240" w:lineRule="auto"/>
        <w:ind w:firstLine="540"/>
        <w:jc w:val="both"/>
      </w:pPr>
      <w:r>
        <w:rPr>
          <w:sz w:val="24"/>
        </w:rPr>
        <w:t xml:space="preserve">Границей балансовой принадлежности признается граница раздела собственности. Она в свою очередь определяет границу эксплуатационной ответственности, то есть указывает, кто будет нести бремя содержания объекта: управляющая организация, ТСЖ, ресурсоснабжающая организация или собственники.</w:t>
      </w:r>
    </w:p>
    <w:p>
      <w:pPr>
        <w:pStyle w:val="0"/>
        <w:spacing w:before="240" w:lineRule="auto"/>
        <w:ind w:firstLine="540"/>
        <w:jc w:val="both"/>
      </w:pPr>
      <w:r>
        <w:rPr>
          <w:sz w:val="24"/>
        </w:rPr>
        <w:t xml:space="preserve">При этом в силу </w:t>
      </w:r>
      <w:hyperlink w:history="0" r:id="rId2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пункта 1 статьи 15</w:t>
        </w:r>
      </w:hyperlink>
      <w:r>
        <w:rPr>
          <w:sz w:val="24"/>
        </w:rPr>
        <w:t xml:space="preserve"> и </w:t>
      </w:r>
      <w:hyperlink w:history="0" r:id="rId30" w:tooltip="&quot;Гражданский кодекс Российской Федерации (часть вторая)&quot; от 26.01.1996 N 14-ФЗ (ред. от 24.06.2025) {КонсультантПлюс}">
        <w:r>
          <w:rPr>
            <w:sz w:val="24"/>
            <w:color w:val="0000ff"/>
          </w:rPr>
          <w:t xml:space="preserve">пункта 1 статьи 1064</w:t>
        </w:r>
      </w:hyperlink>
      <w:r>
        <w:rPr>
          <w:sz w:val="24"/>
        </w:rPr>
        <w:t xml:space="preserve"> ГК РФ отношения между собственником жилого помещения и управляющей организацией являются отношениями между потребителем и исполнителем.</w:t>
      </w:r>
    </w:p>
    <w:p>
      <w:pPr>
        <w:pStyle w:val="0"/>
        <w:spacing w:before="240" w:lineRule="auto"/>
        <w:ind w:firstLine="540"/>
        <w:jc w:val="both"/>
      </w:pPr>
      <w:r>
        <w:rPr>
          <w:sz w:val="24"/>
        </w:rPr>
        <w:t xml:space="preserve">В соответствии с </w:t>
      </w:r>
      <w:hyperlink w:history="0" r:id="rId31" w:tooltip="Постановление Правительства РФ от 06.05.2011 N 354 (ред. от 25.11.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149</w:t>
        </w:r>
      </w:hyperlink>
      <w:r>
        <w:rPr>
          <w:sz w:val="24"/>
        </w:rPr>
        <w:t xml:space="preserve"> Правил N 354 исполнитель несет установленную законодательством Российской Федерации административную, уголовную или гражданско-правовую ответственность за нарушение качества предоставления потребителю коммунальных услуг.</w:t>
      </w:r>
    </w:p>
    <w:p>
      <w:pPr>
        <w:pStyle w:val="0"/>
        <w:spacing w:before="240" w:lineRule="auto"/>
        <w:ind w:firstLine="540"/>
        <w:jc w:val="both"/>
      </w:pPr>
      <w:r>
        <w:rPr>
          <w:sz w:val="24"/>
        </w:rPr>
        <w:t xml:space="preserve">Обращаем внимание, что в соответствии с </w:t>
      </w:r>
      <w:hyperlink w:history="0" r:id="rId32"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Начальник отдела управления</w:t>
      </w:r>
    </w:p>
    <w:p>
      <w:pPr>
        <w:pStyle w:val="0"/>
        <w:jc w:val="right"/>
      </w:pPr>
      <w:r>
        <w:rPr>
          <w:sz w:val="24"/>
        </w:rPr>
        <w:t xml:space="preserve">жилищным фондом и предоставления</w:t>
      </w:r>
    </w:p>
    <w:p>
      <w:pPr>
        <w:pStyle w:val="0"/>
        <w:jc w:val="right"/>
      </w:pPr>
      <w:r>
        <w:rPr>
          <w:sz w:val="24"/>
        </w:rPr>
        <w:t xml:space="preserve">коммунальных услуг</w:t>
      </w:r>
    </w:p>
    <w:p>
      <w:pPr>
        <w:pStyle w:val="0"/>
        <w:jc w:val="right"/>
      </w:pPr>
      <w:r>
        <w:rPr>
          <w:sz w:val="24"/>
        </w:rPr>
        <w:t xml:space="preserve">М.А.ГОРЯЧЕВА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11.11.2025 N 31150-ОГ/00</w:t>
            <w:br/>
            <w:t>&lt;О некоторых вопросах управления многоквартирным домом, а также опр...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11.11.2025 N 31150-ОГ/00 &lt;О некоторых вопросах управления многоквартирным домом, а также опр...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8490&amp;date=16.12.2025&amp;dst=11232&amp;field=134&amp;demo=2" TargetMode = "External"/><Relationship Id="rId8" Type="http://schemas.openxmlformats.org/officeDocument/2006/relationships/hyperlink" Target="https://login.consultant.ru/link/?req=doc&amp;base=LAW&amp;n=507520&amp;date=16.12.2025&amp;dst=101029&amp;field=134&amp;demo=2" TargetMode = "External"/><Relationship Id="rId9" Type="http://schemas.openxmlformats.org/officeDocument/2006/relationships/hyperlink" Target="https://login.consultant.ru/link/?req=doc&amp;base=LAW&amp;n=500914&amp;date=16.12.2025&amp;dst=100028&amp;field=134&amp;demo=2" TargetMode = "External"/><Relationship Id="rId10" Type="http://schemas.openxmlformats.org/officeDocument/2006/relationships/hyperlink" Target="https://login.consultant.ru/link/?req=doc&amp;base=LAW&amp;n=500914&amp;date=16.12.2025&amp;dst=2&amp;field=134&amp;demo=2" TargetMode = "External"/><Relationship Id="rId11" Type="http://schemas.openxmlformats.org/officeDocument/2006/relationships/hyperlink" Target="https://login.consultant.ru/link/?req=doc&amp;base=LAW&amp;n=500914&amp;date=16.12.2025&amp;dst=100039&amp;field=134&amp;demo=2" TargetMode = "External"/><Relationship Id="rId12" Type="http://schemas.openxmlformats.org/officeDocument/2006/relationships/hyperlink" Target="https://login.consultant.ru/link/?req=doc&amp;base=LAW&amp;n=500914&amp;date=16.12.2025&amp;dst=100040&amp;field=134&amp;demo=2" TargetMode = "External"/><Relationship Id="rId13" Type="http://schemas.openxmlformats.org/officeDocument/2006/relationships/hyperlink" Target="https://login.consultant.ru/link/?req=doc&amp;base=LAW&amp;n=500914&amp;date=16.12.2025&amp;dst=100036&amp;field=134&amp;demo=2" TargetMode = "External"/><Relationship Id="rId14" Type="http://schemas.openxmlformats.org/officeDocument/2006/relationships/hyperlink" Target="https://login.consultant.ru/link/?req=doc&amp;base=LAW&amp;n=500914&amp;date=16.12.2025&amp;dst=100037&amp;field=134&amp;demo=2" TargetMode = "External"/><Relationship Id="rId15" Type="http://schemas.openxmlformats.org/officeDocument/2006/relationships/hyperlink" Target="https://login.consultant.ru/link/?req=doc&amp;base=LAW&amp;n=507520&amp;date=16.12.2025&amp;dst=100986&amp;field=134&amp;demo=2" TargetMode = "External"/><Relationship Id="rId16" Type="http://schemas.openxmlformats.org/officeDocument/2006/relationships/hyperlink" Target="https://login.consultant.ru/link/?req=doc&amp;base=LAW&amp;n=306856&amp;date=16.12.2025&amp;dst=100038&amp;field=134&amp;demo=2" TargetMode = "External"/><Relationship Id="rId17" Type="http://schemas.openxmlformats.org/officeDocument/2006/relationships/hyperlink" Target="https://login.consultant.ru/link/?req=doc&amp;base=LAW&amp;n=507520&amp;date=16.12.2025&amp;dst=780&amp;field=134&amp;demo=2" TargetMode = "External"/><Relationship Id="rId18" Type="http://schemas.openxmlformats.org/officeDocument/2006/relationships/hyperlink" Target="https://login.consultant.ru/link/?req=doc&amp;base=LAW&amp;n=314391&amp;date=16.12.2025&amp;dst=100032&amp;field=134&amp;demo=2" TargetMode = "External"/><Relationship Id="rId19" Type="http://schemas.openxmlformats.org/officeDocument/2006/relationships/hyperlink" Target="https://login.consultant.ru/link/?req=doc&amp;base=LAW&amp;n=507520&amp;date=16.12.2025&amp;dst=777&amp;field=134&amp;demo=2" TargetMode = "External"/><Relationship Id="rId20" Type="http://schemas.openxmlformats.org/officeDocument/2006/relationships/hyperlink" Target="https://login.consultant.ru/link/?req=doc&amp;base=LAW&amp;n=500908&amp;date=16.12.2025&amp;dst=100181&amp;field=134&amp;demo=2" TargetMode = "External"/><Relationship Id="rId21" Type="http://schemas.openxmlformats.org/officeDocument/2006/relationships/hyperlink" Target="https://login.consultant.ru/link/?req=doc&amp;base=LAW&amp;n=500914&amp;date=16.12.2025&amp;dst=2&amp;field=134&amp;demo=2" TargetMode = "External"/><Relationship Id="rId22" Type="http://schemas.openxmlformats.org/officeDocument/2006/relationships/hyperlink" Target="https://login.consultant.ru/link/?req=doc&amp;base=LAW&amp;n=500914&amp;date=16.12.2025&amp;dst=100039&amp;field=134&amp;demo=2" TargetMode = "External"/><Relationship Id="rId23" Type="http://schemas.openxmlformats.org/officeDocument/2006/relationships/hyperlink" Target="https://login.consultant.ru/link/?req=doc&amp;base=LAW&amp;n=94273&amp;date=16.12.2025&amp;dst=100017&amp;field=134&amp;demo=2" TargetMode = "External"/><Relationship Id="rId24" Type="http://schemas.openxmlformats.org/officeDocument/2006/relationships/hyperlink" Target="https://login.consultant.ru/link/?req=doc&amp;base=LAW&amp;n=500914&amp;date=16.12.2025&amp;dst=100151&amp;field=134&amp;demo=2" TargetMode = "External"/><Relationship Id="rId25" Type="http://schemas.openxmlformats.org/officeDocument/2006/relationships/hyperlink" Target="https://login.consultant.ru/link/?req=doc&amp;base=LAW&amp;n=507520&amp;date=16.12.2025&amp;dst=1258&amp;field=134&amp;demo=2" TargetMode = "External"/><Relationship Id="rId26" Type="http://schemas.openxmlformats.org/officeDocument/2006/relationships/hyperlink" Target="https://login.consultant.ru/link/?req=doc&amp;base=LAW&amp;n=149615&amp;date=16.12.2025&amp;dst=100018&amp;field=134&amp;demo=2" TargetMode = "External"/><Relationship Id="rId27" Type="http://schemas.openxmlformats.org/officeDocument/2006/relationships/hyperlink" Target="https://login.consultant.ru/link/?req=doc&amp;base=LAW&amp;n=149615&amp;date=16.12.2025&amp;demo=2" TargetMode = "External"/><Relationship Id="rId28" Type="http://schemas.openxmlformats.org/officeDocument/2006/relationships/hyperlink" Target="https://login.consultant.ru/link/?req=doc&amp;base=LAW&amp;n=500914&amp;date=16.12.2025&amp;dst=71&amp;field=134&amp;demo=2" TargetMode = "External"/><Relationship Id="rId29" Type="http://schemas.openxmlformats.org/officeDocument/2006/relationships/hyperlink" Target="https://login.consultant.ru/link/?req=doc&amp;base=LAW&amp;n=508490&amp;date=16.12.2025&amp;dst=100092&amp;field=134&amp;demo=2" TargetMode = "External"/><Relationship Id="rId30" Type="http://schemas.openxmlformats.org/officeDocument/2006/relationships/hyperlink" Target="https://login.consultant.ru/link/?req=doc&amp;base=LAW&amp;n=508506&amp;date=16.12.2025&amp;dst=102607&amp;field=134&amp;demo=2" TargetMode = "External"/><Relationship Id="rId31" Type="http://schemas.openxmlformats.org/officeDocument/2006/relationships/hyperlink" Target="https://login.consultant.ru/link/?req=doc&amp;base=LAW&amp;n=520155&amp;date=16.12.2025&amp;dst=100539&amp;field=134&amp;demo=2" TargetMode = "External"/><Relationship Id="rId32" Type="http://schemas.openxmlformats.org/officeDocument/2006/relationships/hyperlink" Target="https://login.consultant.ru/link/?req=doc&amp;base=LAW&amp;n=490536&amp;date=16.12.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11.11.2025 N 31150-ОГ/00
&lt;О некоторых вопросах управления многоквартирным домом, а также определения перечня услуг и работ по содержанию и ремонту общего имущества в многоквартирном доме&gt;</dc:title>
  <dcterms:created xsi:type="dcterms:W3CDTF">2025-12-16T15:05:19Z</dcterms:created>
</cp:coreProperties>
</file>