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Минстроя России от 11.11.2025 N 31159-ОГ/08</w:t>
              <w:br/>
              <w:t xml:space="preserve">&lt;По вопросу разъяснения нормативных требований по градостроительной деятельности&gt;</w:t>
              <w:br/>
              <w:t xml:space="preserve">(вместе с &lt;Письмом&gt; ФАУ "ФЦС" от 31.10.2025 N Исх-7386)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11 ноября 2025 г. N 31159-ОГ/08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градостроительной деятельности и архитектуры Министерства строительства и жилищно-коммунального хозяйства Российской Федерации в пределах компетенции рассмотрел обращение по вопросу разъяснения требований нормативно-технических документов в строительстве и направляет </w:t>
      </w:r>
      <w:hyperlink w:history="0" w:anchor="P32" w:tooltip="ПИСЬМО">
        <w:r>
          <w:rPr>
            <w:sz w:val="24"/>
            <w:color w:val="0000ff"/>
          </w:rPr>
          <w:t xml:space="preserve">позицию</w:t>
        </w:r>
      </w:hyperlink>
      <w:r>
        <w:rPr>
          <w:sz w:val="24"/>
        </w:rPr>
        <w:t xml:space="preserve"> Федерального автономного учреждения "Федеральный центр нормирования, стандартизации и технической оценки соответствия в строительстве" от 31 октября 2025 г. N Исх-7386.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Одновременно сообщаем, что в соответствии с </w:t>
      </w:r>
      <w:hyperlink w:history="0" r:id="rId8" w:tooltip="Постановление Правительства РФ от 28.07.2005 N 452 (ред. от 24.03.2025) &quot;О Типовом регламенте внутренней организации федеральных органов исполнительной власти&quot; {КонсультантПлюс}">
        <w:r>
          <w:rPr>
            <w:sz w:val="24"/>
            <w:color w:val="0000ff"/>
          </w:rPr>
          <w:t xml:space="preserve">пунктом 12.4</w:t>
        </w:r>
      </w:hyperlink>
      <w:r>
        <w:rPr>
          <w:sz w:val="24"/>
        </w:rPr>
        <w:t xml:space="preserve"> Типового регламента внутренней организации федеральных органов исполнительной власти, утвержденного постановлением Правительства Российской Федерации от 28 июля 2005 г. N 452, практики его применения, а также толкование норм, терминов и понятий осуществляются федеральными органами исполнительной власти в случаях, когда на них возложена соответствующая обязанность.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Положению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утвержденному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функции, в том числе по выработке и реализации государственной политики и нормативно-правовому регулированию в сфере строительства. Обязанности по разъяснению законодательства Российской Федерации, толкованию понятий, терминов и норм, а также проведению экспертной оценки качества выполненных работ на Минстрой России не возложены.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сообщаем, что конкретные проектные решения, обеспечивающие соблюдение требований Федерального </w:t>
      </w:r>
      <w:hyperlink w:history="0" r:id="rId10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30 декабря 2009 г. N 384-ФЗ "Технический регламент о безопасности зданий и сооружений" и сводов правил выбираются и обосновываются проектировщиком.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Обоснованность принятых решений устанавливается в рамках экспертизы проектной документации согласно </w:t>
      </w:r>
      <w:hyperlink w:history="0" r:id="rId11" w:tooltip="&quot;Градостроительный кодекс Российской Федерации&quot; от 29.12.2004 N 190-ФЗ (ред. от 31.07.2025) (с изм. и доп., вступ. в силу с 14.12.2025) {КонсультантПлюс}">
        <w:r>
          <w:rPr>
            <w:sz w:val="24"/>
            <w:color w:val="0000ff"/>
          </w:rPr>
          <w:t xml:space="preserve">статье 49</w:t>
        </w:r>
      </w:hyperlink>
      <w:r>
        <w:rPr>
          <w:sz w:val="24"/>
        </w:rPr>
        <w:t xml:space="preserve"> Градостроительного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в соответствии с </w:t>
      </w:r>
      <w:hyperlink w:history="0" r:id="rId12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градостроительной</w:t>
      </w:r>
    </w:p>
    <w:p>
      <w:pPr>
        <w:pStyle w:val="0"/>
        <w:jc w:val="right"/>
      </w:pPr>
      <w:r>
        <w:rPr>
          <w:sz w:val="24"/>
        </w:rPr>
        <w:t xml:space="preserve">деятельности и архитектуры</w:t>
      </w:r>
    </w:p>
    <w:p>
      <w:pPr>
        <w:pStyle w:val="0"/>
        <w:jc w:val="right"/>
      </w:pPr>
      <w:r>
        <w:rPr>
          <w:sz w:val="24"/>
        </w:rPr>
        <w:t xml:space="preserve">А.Ю.СТЕПАНОВ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ФЕДЕРАЛЬНОЕ АВТОНОМНОЕ УЧРЕЖДЕНИЕ</w:t>
      </w:r>
    </w:p>
    <w:p>
      <w:pPr>
        <w:pStyle w:val="2"/>
        <w:jc w:val="center"/>
      </w:pPr>
      <w:r>
        <w:rPr>
          <w:sz w:val="24"/>
        </w:rPr>
        <w:t xml:space="preserve">"ФЕДЕРАЛЬНЫЙ ЦЕНТР НОРМИРОВАНИЯ, СТАНДАРТИЗАЦИИ</w:t>
      </w:r>
    </w:p>
    <w:p>
      <w:pPr>
        <w:pStyle w:val="2"/>
        <w:jc w:val="center"/>
      </w:pPr>
      <w:r>
        <w:rPr>
          <w:sz w:val="24"/>
        </w:rPr>
        <w:t xml:space="preserve">И ТЕХНИЧЕСКОЙ ОЦЕНКИ СООТВЕТСТВИЯ В СТРОИТЕЛЬСТВЕ"</w:t>
      </w:r>
    </w:p>
    <w:p>
      <w:pPr>
        <w:pStyle w:val="2"/>
        <w:jc w:val="center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31 октября 2025 г. N Исх-7386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Федеральное автономное учреждение "Федеральный центр нормирования, стандартизации и технической оценки соответствия в строительстве" (ФАУ "ФЦС") рассмотрело обращение по вопросу разъяснения нормативных требований по градостроительной деятельности 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Минимальное нормативное расстояние от края основной проезжей части до фасадов жилых зданий, в том числе блокированной застройки, устанавливается только в отношении магистральных дорог при их строительстве (</w:t>
      </w:r>
      <w:hyperlink w:history="0" r:id="rId13" w:tooltip="&quot;СП 42.13330.2016. Свод правил. Градостроительство. Планировка и застройка городских и сельских поселений. Актуализированная редакция СНиП 2.07.01-89*&quot; (утв. Приказом Минстроя России от 30.12.2016 N 1034/пр) (ред. от 31.05.2022) {КонсультантПлюс}">
        <w:r>
          <w:rPr>
            <w:sz w:val="24"/>
            <w:color w:val="0000ff"/>
          </w:rPr>
          <w:t xml:space="preserve">п. 11.11</w:t>
        </w:r>
      </w:hyperlink>
      <w:r>
        <w:rPr>
          <w:sz w:val="24"/>
        </w:rPr>
        <w:t xml:space="preserve"> СП 42.13330.2016 "СНиП 2.07.01-89* Градостроительство. Планировка и застройка городских и сельских поселений") и должно составлять не менее 50 метров, а при условии применения шумозащитных сооружений [на территории - шумозащитных экранов, в здании - шумозащитных конструктивно-технических и объемно-планировочных решений (форма плана и габариты, ориентации жилых комнат)], обеспечивающих требования </w:t>
      </w:r>
      <w:hyperlink w:history="0" r:id="rId14" w:tooltip="&quot;СП 51.13330.2011. Свод правил. Защита от шума. Актуализированная редакция СНиП 23-03-2003&quot; (утв. Приказом Минрегиона РФ от 28.12.2010 N 825) (ред. от 12.12.2023) {КонсультантПлюс}">
        <w:r>
          <w:rPr>
            <w:sz w:val="24"/>
            <w:color w:val="0000ff"/>
          </w:rPr>
          <w:t xml:space="preserve">СП 51.13330.2011</w:t>
        </w:r>
      </w:hyperlink>
      <w:r>
        <w:rPr>
          <w:sz w:val="24"/>
        </w:rPr>
        <w:t xml:space="preserve"> "СНиП 23-03-2003 Защита от шума", </w:t>
      </w:r>
      <w:hyperlink w:history="0" r:id="rId15" w:tooltip="&quot;СП 60.13330.2020. Свод правил. Отопление, вентиляция и кондиционирование воздуха. СНиП 41-01-2003&quot; (утв. и введен в действие Приказом Минстроя России от 30.12.2020 N 921/пр) (ред. от 17.01.2025) {КонсультантПлюс}">
        <w:r>
          <w:rPr>
            <w:sz w:val="24"/>
            <w:color w:val="0000ff"/>
          </w:rPr>
          <w:t xml:space="preserve">СП 60.13330.2020</w:t>
        </w:r>
      </w:hyperlink>
      <w:r>
        <w:rPr>
          <w:sz w:val="24"/>
        </w:rPr>
        <w:t xml:space="preserve"> "СНиП 41-01-2003 Отопление, вентиляция и кондиционирование воздуха", - не менее 25 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6" w:tooltip="&quot;СП 53.13330.2019. Свод правил. Планировка и застройка территории ведения гражданами садоводства. Здания и сооружения (СНиП 30-02-97* Планировка и застройка территорий садоводческих (дачных) объединений граждан, здания и сооружения)&quot; (утв. и введен в действие Приказом Минстроя России от 14.10.2019 N 618/пр) (ред. от 16.01.2023) {КонсультантПлюс}">
        <w:r>
          <w:rPr>
            <w:sz w:val="24"/>
            <w:color w:val="0000ff"/>
          </w:rPr>
          <w:t xml:space="preserve">п. 6.6</w:t>
        </w:r>
      </w:hyperlink>
      <w:r>
        <w:rPr>
          <w:sz w:val="24"/>
        </w:rPr>
        <w:t xml:space="preserve"> СП 53.13330.2019 "Планировка и застройка территории ведения гражданами садоводства. Здания и сооружения (СНиП 30-02-97* Планировка и застройка территорий садоводческих (дачных) объединений граждан, здания и сооружения)" (далее - СП 53.13330.2019) расстояние от садового или жилого дома, в том числе блокированной застройки, хозяйственных построек до границы земельного участка, смежной с улично-дорожной сетью, следует принимать с учетом градостроительных регламентов, но не менее 3 м. В случае устройства проезда с одной полосой движения данное расстояние следует принимать не менее 4 м. При этом между домами, расположенными на противоположных сторонах проезда, должны быть учтены противопожарные расстояния, приведенные в </w:t>
      </w:r>
      <w:hyperlink w:history="0" r:id="rId17" w:tooltip="&quot;СП 4.13130.2013. Свод правил. Системы противопожарной защиты. Ограничение распространения пожара на объектах защиты. Требования к объемно-планировочным и конструктивным решениям&quot; (утв. Приказом МЧС России от 24.04.2013 N 288) (ред. от 27.06.2023) {КонсультантПлюс}">
        <w:r>
          <w:rPr>
            <w:sz w:val="24"/>
            <w:color w:val="0000ff"/>
          </w:rPr>
          <w:t xml:space="preserve">таблице 1</w:t>
        </w:r>
      </w:hyperlink>
      <w:r>
        <w:rPr>
          <w:sz w:val="24"/>
        </w:rPr>
        <w:t xml:space="preserve"> СП 4.13130.2013.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градостроительные регламенты устанавливаются в составе правил землепользования и застройки, утверждаемых в установленном законодательством порядке.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Уставом ФАУ "ФЦС" вправе осуществлять организацию и проведение методической и разъяснительной работы по вопросам технического нормирования в сфере строительства, но не уполномочено давать разъяснения и комментировать законодательство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Ю.В.ШУРКАЛИН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11.11.2025 N 31159-ОГ/08</w:t>
            <w:br/>
            <w:t>&lt;По вопросу разъяснения нормативных требований по градостроительной...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1692&amp;date=16.12.2025&amp;dst=187&amp;field=134&amp;demo=2" TargetMode = "External"/><Relationship Id="rId9" Type="http://schemas.openxmlformats.org/officeDocument/2006/relationships/hyperlink" Target="https://login.consultant.ru/link/?req=doc&amp;base=LAW&amp;n=507478&amp;date=16.12.2025&amp;dst=100015&amp;field=134&amp;demo=2" TargetMode = "External"/><Relationship Id="rId10" Type="http://schemas.openxmlformats.org/officeDocument/2006/relationships/hyperlink" Target="https://login.consultant.ru/link/?req=doc&amp;base=LAW&amp;n=471020&amp;date=16.12.2025&amp;demo=2" TargetMode = "External"/><Relationship Id="rId11" Type="http://schemas.openxmlformats.org/officeDocument/2006/relationships/hyperlink" Target="https://login.consultant.ru/link/?req=doc&amp;base=LAW&amp;n=507524&amp;date=16.12.2025&amp;dst=4448&amp;field=134&amp;demo=2" TargetMode = "External"/><Relationship Id="rId12" Type="http://schemas.openxmlformats.org/officeDocument/2006/relationships/hyperlink" Target="https://login.consultant.ru/link/?req=doc&amp;base=LAW&amp;n=490536&amp;date=16.12.2025&amp;dst=157&amp;field=134&amp;demo=2" TargetMode = "External"/><Relationship Id="rId13" Type="http://schemas.openxmlformats.org/officeDocument/2006/relationships/hyperlink" Target="https://login.consultant.ru/link/?req=doc&amp;base=STR&amp;n=29176&amp;date=16.12.2025&amp;dst=103872&amp;field=134&amp;demo=2" TargetMode = "External"/><Relationship Id="rId14" Type="http://schemas.openxmlformats.org/officeDocument/2006/relationships/hyperlink" Target="https://login.consultant.ru/link/?req=doc&amp;base=STR&amp;n=31817&amp;date=16.12.2025&amp;demo=2" TargetMode = "External"/><Relationship Id="rId15" Type="http://schemas.openxmlformats.org/officeDocument/2006/relationships/hyperlink" Target="https://login.consultant.ru/link/?req=doc&amp;base=STR&amp;n=34995&amp;date=16.12.2025&amp;demo=2" TargetMode = "External"/><Relationship Id="rId16" Type="http://schemas.openxmlformats.org/officeDocument/2006/relationships/hyperlink" Target="https://login.consultant.ru/link/?req=doc&amp;base=STR&amp;n=30073&amp;date=16.12.2025&amp;dst=100453&amp;field=134&amp;demo=2" TargetMode = "External"/><Relationship Id="rId17" Type="http://schemas.openxmlformats.org/officeDocument/2006/relationships/hyperlink" Target="https://login.consultant.ru/link/?req=doc&amp;base=STR&amp;n=33564&amp;date=16.12.2025&amp;dst=10010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11.11.2025 N 31159-ОГ/08
&lt;По вопросу разъяснения нормативных требований по градостроительной деятельности&gt;
(вместе с &lt;Письмом&gt; ФАУ "ФЦС" от 31.10.2025 N Исх-7386)</dc:title>
  <dcterms:created xsi:type="dcterms:W3CDTF">2025-12-16T16:56:32Z</dcterms:created>
</cp:coreProperties>
</file>