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center"/>
      </w:pPr>
      <w:r>
        <w:rPr>
          <w:sz w:val="24"/>
        </w:rPr>
      </w:r>
    </w:p>
    <w:p>
      <w:pPr>
        <w:pStyle w:val="2"/>
        <w:jc w:val="center"/>
      </w:pPr>
      <w:r>
        <w:rPr>
          <w:sz w:val="24"/>
        </w:rPr>
        <w:t xml:space="preserve">МИНИСТЕРСТВО РОССИЙСКОЙ ФЕДЕРАЦИИ ПО ДЕЛАМ ГРАЖДАНСКОЙ</w:t>
      </w:r>
    </w:p>
    <w:p>
      <w:pPr>
        <w:pStyle w:val="2"/>
        <w:jc w:val="center"/>
      </w:pPr>
      <w:r>
        <w:rPr>
          <w:sz w:val="24"/>
        </w:rPr>
        <w:t xml:space="preserve">ОБОРОНЫ, ЧРЕЗВЫЧАЙНЫМ СИТУАЦИЯМ И ЛИКВИДАЦИИ</w:t>
      </w:r>
    </w:p>
    <w:p>
      <w:pPr>
        <w:pStyle w:val="2"/>
        <w:jc w:val="center"/>
      </w:pPr>
      <w:r>
        <w:rPr>
          <w:sz w:val="24"/>
        </w:rPr>
        <w:t xml:space="preserve">ПОСЛЕДСТВИЙ СТИХИЙНЫХ БЕДСТВИЙ</w:t>
      </w:r>
    </w:p>
    <w:p>
      <w:pPr>
        <w:pStyle w:val="2"/>
        <w:jc w:val="center"/>
      </w:pPr>
      <w:r>
        <w:rPr>
          <w:sz w:val="24"/>
        </w:rPr>
      </w:r>
    </w:p>
    <w:p>
      <w:pPr>
        <w:pStyle w:val="2"/>
        <w:jc w:val="center"/>
      </w:pPr>
      <w:r>
        <w:rPr>
          <w:sz w:val="24"/>
        </w:rPr>
        <w:t xml:space="preserve">ПИСЬМО</w:t>
      </w:r>
    </w:p>
    <w:p>
      <w:pPr>
        <w:pStyle w:val="2"/>
        <w:jc w:val="center"/>
      </w:pPr>
      <w:r>
        <w:rPr>
          <w:sz w:val="24"/>
        </w:rPr>
        <w:t xml:space="preserve">от 9 декабря 2025 г. N ИГ-19-14-1576</w:t>
      </w:r>
    </w:p>
    <w:p>
      <w:pPr>
        <w:pStyle w:val="2"/>
        <w:jc w:val="center"/>
      </w:pPr>
      <w:r>
        <w:rPr>
          <w:sz w:val="24"/>
        </w:rPr>
      </w:r>
    </w:p>
    <w:p>
      <w:pPr>
        <w:pStyle w:val="2"/>
        <w:jc w:val="center"/>
      </w:pPr>
      <w:r>
        <w:rPr>
          <w:sz w:val="24"/>
        </w:rPr>
        <w:t xml:space="preserve">О РАССМОТРЕНИИ ОБРАЩЕНИЯ</w:t>
      </w:r>
    </w:p>
    <w:p>
      <w:pPr>
        <w:pStyle w:val="0"/>
        <w:jc w:val="center"/>
      </w:pPr>
      <w:r>
        <w:rPr>
          <w:sz w:val="24"/>
        </w:rPr>
      </w:r>
    </w:p>
    <w:p>
      <w:pPr>
        <w:pStyle w:val="0"/>
        <w:ind w:firstLine="540"/>
        <w:jc w:val="both"/>
      </w:pPr>
      <w:r>
        <w:rPr>
          <w:sz w:val="24"/>
        </w:rPr>
        <w:t xml:space="preserve">Департамент надзорной деятельности и профилактической работы, рассмотрев в пределах компетенции обращение, поступившее в МЧС России из Минстроя России в электронном виде, сообщает следующее.</w:t>
      </w:r>
    </w:p>
    <w:p>
      <w:pPr>
        <w:pStyle w:val="0"/>
        <w:spacing w:before="240" w:lineRule="auto"/>
        <w:ind w:firstLine="540"/>
        <w:jc w:val="both"/>
      </w:pPr>
      <w:hyperlink w:history="0" r:id="rId7" w:tooltip="&quot;Градостроительный кодекс Российской Федерации&quot; от 29.12.2004 N 190-ФЗ (ред. от 31.07.2025) (с изм. и доп., вступ. в силу с 14.12.2025) {КонсультантПлюс}">
        <w:r>
          <w:rPr>
            <w:sz w:val="24"/>
            <w:color w:val="0000ff"/>
          </w:rPr>
          <w:t xml:space="preserve">Статьей 55.24</w:t>
        </w:r>
      </w:hyperlink>
      <w:r>
        <w:rPr>
          <w:sz w:val="24"/>
        </w:rPr>
        <w:t xml:space="preserve"> Градостроительного кодекса Российской Федерации установлено, что эксплуатация зданий, сооружений должна осуществляться в соответствии с требованиями технических регламентов, нормативных правовых актов Российской Федерации. В целях обеспечения безопасности зданий, сооружений в процессе их эксплуатации должны обеспечиваться техническое обслуживание зданий, сооружений, эксплуатационный контроль, текущий ремонт.</w:t>
      </w:r>
    </w:p>
    <w:p>
      <w:pPr>
        <w:pStyle w:val="0"/>
        <w:spacing w:before="240" w:lineRule="auto"/>
        <w:ind w:firstLine="540"/>
        <w:jc w:val="both"/>
      </w:pPr>
      <w:r>
        <w:rPr>
          <w:sz w:val="24"/>
        </w:rPr>
        <w:t xml:space="preserve">Эксплуатационный контроль за техническим состоянием зданий, сооружений проводится путем осуществления периодических осмотров, контрольных проверок систем инженерно-технического обеспечения в целях оценки состояния систем инженерно-технического обеспечения и соответствия указанных характеристик требованиям технических регламентов, проектной и исполнительной документации.</w:t>
      </w:r>
    </w:p>
    <w:p>
      <w:pPr>
        <w:pStyle w:val="0"/>
        <w:spacing w:before="240" w:lineRule="auto"/>
        <w:ind w:firstLine="540"/>
        <w:jc w:val="both"/>
      </w:pPr>
      <w:r>
        <w:rPr>
          <w:sz w:val="24"/>
        </w:rPr>
        <w:t xml:space="preserve">Эксплуатационный контроль осуществляется лицом, ответственным за эксплуатацию здания, сооружения. При этом эксплуатация многоквартирных домов осуществляется с учетом требований жилищного законодательства.</w:t>
      </w:r>
    </w:p>
    <w:p>
      <w:pPr>
        <w:pStyle w:val="0"/>
        <w:spacing w:before="240" w:lineRule="auto"/>
        <w:ind w:firstLine="540"/>
        <w:jc w:val="both"/>
      </w:pPr>
      <w:r>
        <w:rPr>
          <w:sz w:val="24"/>
        </w:rPr>
        <w:t xml:space="preserve">Согласно </w:t>
      </w:r>
      <w:hyperlink w:history="0" r:id="rId8" w:tooltip="&quot;Жилищный кодекс Российской Федерации&quot; от 29.12.2004 N 188-ФЗ (ред. от 04.11.2025) (с изм. и доп., вступ. в силу с 14.12.2025) {КонсультантПлюс}">
        <w:r>
          <w:rPr>
            <w:sz w:val="24"/>
            <w:color w:val="0000ff"/>
          </w:rPr>
          <w:t xml:space="preserve">статье 161</w:t>
        </w:r>
      </w:hyperlink>
      <w:r>
        <w:rPr>
          <w:sz w:val="24"/>
        </w:rPr>
        <w:t xml:space="preserve"> Жилищного кодекса Российской Федерации управление многоквартирным домом должно обеспечивать безопасные условия проживания граждан, надлежащее содержание общего имущества в многоквартирном доме. При этом надлежащее содержание общего имущества должно осуществляться в соответствии с требованиями законодательства Российской Федерации, в том числе о техническом регулировании и пожарной безопасности.</w:t>
      </w:r>
    </w:p>
    <w:p>
      <w:pPr>
        <w:pStyle w:val="0"/>
        <w:spacing w:before="240" w:lineRule="auto"/>
        <w:ind w:firstLine="540"/>
        <w:jc w:val="both"/>
      </w:pPr>
      <w:r>
        <w:rPr>
          <w:sz w:val="24"/>
        </w:rPr>
        <w:t xml:space="preserve">Деятельность по управлению многоквартирными домами осуществляется на основании лицензии на ее осуществление. При этом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в соответствии с требованиями технических регламентов.</w:t>
      </w:r>
    </w:p>
    <w:p>
      <w:pPr>
        <w:pStyle w:val="0"/>
        <w:spacing w:before="240" w:lineRule="auto"/>
        <w:ind w:firstLine="540"/>
        <w:jc w:val="both"/>
      </w:pPr>
      <w:r>
        <w:rPr>
          <w:sz w:val="24"/>
        </w:rPr>
        <w:t xml:space="preserve">Вместе с тем характеристики систем пожарной сигнализации должны соответствовать положениям Федерального </w:t>
      </w:r>
      <w:hyperlink w:history="0" r:id="rId9" w:tooltip="Федеральный закон от 22.07.2008 N 123-ФЗ (ред. от 25.12.2023) &quot;Технический регламент о требованиях пожарной безопасности&quot; {КонсультантПлюс}">
        <w:r>
          <w:rPr>
            <w:sz w:val="24"/>
            <w:color w:val="0000ff"/>
          </w:rPr>
          <w:t xml:space="preserve">закона</w:t>
        </w:r>
      </w:hyperlink>
      <w:r>
        <w:rPr>
          <w:sz w:val="24"/>
        </w:rPr>
        <w:t xml:space="preserve"> от 22.07.2008 N 123-ФЗ "Технический регламент о требованиях пожарной безопасности".</w:t>
      </w:r>
    </w:p>
    <w:p>
      <w:pPr>
        <w:pStyle w:val="0"/>
        <w:spacing w:before="240" w:lineRule="auto"/>
        <w:ind w:firstLine="540"/>
        <w:jc w:val="both"/>
      </w:pPr>
      <w:r>
        <w:rPr>
          <w:sz w:val="24"/>
        </w:rPr>
        <w:t xml:space="preserve">Вместе с тем </w:t>
      </w:r>
      <w:hyperlink w:history="0" r:id="rId10" w:tooltip="Федеральный закон от 21.12.1994 N 69-ФЗ (ред. от 07.07.2025) &quot;О пожарной безопасности&quot; {КонсультантПлюс}">
        <w:r>
          <w:rPr>
            <w:sz w:val="24"/>
            <w:color w:val="0000ff"/>
          </w:rPr>
          <w:t xml:space="preserve">статьей 37</w:t>
        </w:r>
      </w:hyperlink>
      <w:r>
        <w:rPr>
          <w:sz w:val="24"/>
        </w:rPr>
        <w:t xml:space="preserve"> Федерального закона от 21.12.1994 N 69-ФЗ "О пожарной безопасности" к обязанностям организаций отнесены соблюдение требований пожарной безопасности, разработка и осуществление мер пожарной безопасности, а также содержание в исправном состоянии систем и средств противопожарной защиты.</w:t>
      </w:r>
    </w:p>
    <w:p>
      <w:pPr>
        <w:pStyle w:val="0"/>
        <w:spacing w:before="240" w:lineRule="auto"/>
        <w:ind w:firstLine="540"/>
        <w:jc w:val="both"/>
      </w:pPr>
      <w:hyperlink w:history="0" r:id="rId11" w:tooltip="Постановление Правительства РФ от 16.09.2020 N 1479 (ред. от 03.02.2025) &quot;Об утверждении Правил противопожарного режима в Российской Федерации&quot; {КонсультантПлюс}">
        <w:r>
          <w:rPr>
            <w:sz w:val="24"/>
            <w:color w:val="0000ff"/>
          </w:rPr>
          <w:t xml:space="preserve">Пунктом 54</w:t>
        </w:r>
      </w:hyperlink>
      <w:r>
        <w:rPr>
          <w:sz w:val="24"/>
        </w:rPr>
        <w:t xml:space="preserve"> Правил противопожарного режима в Российской Федерации, утвержденных постановлением Правительства Российской Федерации от 16.09.2020 N 1479 (далее - Правила), установлено, что руководитель организации организует работы по ремонту, техническому обслуживанию систем пожарной сигнализации, при этом должно обеспечиваться ежегодное проведение испытаний указанных систем, эксплуатирующихся сверх срока службы, установленного изготовителем технических средств, или при отсутствии информации изготовителя (поставщика) о возможности дальнейшей эксплуатации.</w:t>
      </w:r>
    </w:p>
    <w:p>
      <w:pPr>
        <w:pStyle w:val="0"/>
        <w:spacing w:before="240" w:lineRule="auto"/>
        <w:ind w:firstLine="540"/>
        <w:jc w:val="both"/>
      </w:pPr>
      <w:r>
        <w:rPr>
          <w:sz w:val="24"/>
        </w:rPr>
        <w:t xml:space="preserve">Учитывая изложенное, положения </w:t>
      </w:r>
      <w:hyperlink w:history="0" r:id="rId12" w:tooltip="Постановление Правительства РФ от 16.09.2020 N 1479 (ред. от 03.02.2025) &quot;Об утверждении Правил противопожарного режима в Российской Федерации&quot; {КонсультантПлюс}">
        <w:r>
          <w:rPr>
            <w:sz w:val="24"/>
            <w:color w:val="0000ff"/>
          </w:rPr>
          <w:t xml:space="preserve">Правил</w:t>
        </w:r>
      </w:hyperlink>
      <w:r>
        <w:rPr>
          <w:sz w:val="24"/>
        </w:rPr>
        <w:t xml:space="preserve"> не ограничивают срок эксплуатации средств обеспечения пожарной безопасности при соблюдении условий, при которых возможна дальнейшая эксплуатация вышеуказанных технических средств.</w:t>
      </w:r>
    </w:p>
    <w:p>
      <w:pPr>
        <w:pStyle w:val="0"/>
        <w:spacing w:before="240" w:lineRule="auto"/>
        <w:ind w:firstLine="540"/>
        <w:jc w:val="both"/>
      </w:pPr>
      <w:r>
        <w:rPr>
          <w:sz w:val="24"/>
        </w:rPr>
        <w:t xml:space="preserve">Вместе с тем законодательством о пожарной безопасности не предусмотрены основания для уклонения лица, ответственного за эксплуатацию здания, сооружения, в том числе управляющей организации от исполнения обязанности по соблюдению требований пожарной безопасности, обслуживанию систем пожарной сигнализации.</w:t>
      </w:r>
    </w:p>
    <w:p>
      <w:pPr>
        <w:pStyle w:val="0"/>
        <w:spacing w:before="240" w:lineRule="auto"/>
        <w:ind w:firstLine="540"/>
        <w:jc w:val="both"/>
      </w:pPr>
      <w:r>
        <w:rPr>
          <w:sz w:val="24"/>
        </w:rPr>
        <w:t xml:space="preserve">В случае, если указанное или иное лицо отказывается от исполнения законной обязанности, а также нарушает законные права граждан, вправе обратиться соответственно в подразделение органов государственного пожарного надзора, органов, осуществляющих государственный жилищный надзор, а также инициировать рассмотрение вопросов содержания общего имущества на совете многоквартирного дома, реализовать иные права в соответствии с жилищным и гражданским законодательством.</w:t>
      </w:r>
    </w:p>
    <w:p>
      <w:pPr>
        <w:pStyle w:val="0"/>
        <w:spacing w:before="240" w:lineRule="auto"/>
        <w:ind w:firstLine="540"/>
        <w:jc w:val="both"/>
      </w:pPr>
      <w:r>
        <w:rPr>
          <w:sz w:val="24"/>
        </w:rPr>
        <w:t xml:space="preserve">Также сообщается, что положениями Кодекса Российской Федерации об административных правонарушениях предусматривается административная ответственность за нарушение требований пожарной безопасности </w:t>
      </w:r>
      <w:hyperlink w:history="0" r:id="rId13" w:tooltip="&quot;Кодекс Российской Федерации об административных правонарушениях&quot; от 30.12.2001 N 195-ФЗ (ред. от 28.11.2025) ------------ Недействующая редакция {КонсультантПлюс}">
        <w:r>
          <w:rPr>
            <w:sz w:val="24"/>
            <w:color w:val="0000ff"/>
          </w:rPr>
          <w:t xml:space="preserve">(статья 20.4)</w:t>
        </w:r>
      </w:hyperlink>
      <w:r>
        <w:rPr>
          <w:sz w:val="24"/>
        </w:rPr>
        <w:t xml:space="preserve">, а также за осуществление предпринимательской деятельности с нарушением требований и условий, предусмотренных специальным разрешением (лицензией) </w:t>
      </w:r>
      <w:hyperlink w:history="0" r:id="rId14" w:tooltip="&quot;Кодекс Российской Федерации об административных правонарушениях&quot; от 30.12.2001 N 195-ФЗ (ред. от 28.11.2025) ------------ Недействующая редакция {КонсультантПлюс}">
        <w:r>
          <w:rPr>
            <w:sz w:val="24"/>
            <w:color w:val="0000ff"/>
          </w:rPr>
          <w:t xml:space="preserve">(статья 14.1)</w:t>
        </w:r>
      </w:hyperlink>
      <w:r>
        <w:rPr>
          <w:sz w:val="24"/>
        </w:rPr>
        <w:t xml:space="preserve">.</w:t>
      </w:r>
    </w:p>
    <w:p>
      <w:pPr>
        <w:pStyle w:val="0"/>
        <w:ind w:firstLine="540"/>
        <w:jc w:val="both"/>
      </w:pPr>
      <w:r>
        <w:rPr>
          <w:sz w:val="24"/>
        </w:rPr>
      </w:r>
    </w:p>
    <w:p>
      <w:pPr>
        <w:pStyle w:val="0"/>
        <w:jc w:val="right"/>
      </w:pPr>
      <w:r>
        <w:rPr>
          <w:sz w:val="24"/>
        </w:rPr>
        <w:t xml:space="preserve">Заместитель директора Департамента</w:t>
      </w:r>
    </w:p>
    <w:p>
      <w:pPr>
        <w:pStyle w:val="0"/>
        <w:jc w:val="right"/>
      </w:pPr>
      <w:r>
        <w:rPr>
          <w:sz w:val="24"/>
        </w:rPr>
        <w:t xml:space="preserve">надзорной деятельности</w:t>
      </w:r>
    </w:p>
    <w:p>
      <w:pPr>
        <w:pStyle w:val="0"/>
        <w:jc w:val="right"/>
      </w:pPr>
      <w:r>
        <w:rPr>
          <w:sz w:val="24"/>
        </w:rPr>
        <w:t xml:space="preserve">и профилактической работы</w:t>
      </w:r>
    </w:p>
    <w:p>
      <w:pPr>
        <w:pStyle w:val="0"/>
        <w:jc w:val="right"/>
      </w:pPr>
      <w:r>
        <w:rPr>
          <w:sz w:val="24"/>
        </w:rPr>
        <w:t xml:space="preserve">В.Ю.НЕГОДУЙКО</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МЧС России от 09.12.2025 N ИГ-19-14-1576</w:t>
            <w:br/>
            <w:t>"О рассмотрении обращения"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МЧС России от 09.12.2025 N ИГ-19-14-1576 "О рассмотрении обращения"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524&amp;date=17.12.2025&amp;dst=586&amp;field=134&amp;demo=2" TargetMode = "External"/><Relationship Id="rId8" Type="http://schemas.openxmlformats.org/officeDocument/2006/relationships/hyperlink" Target="https://login.consultant.ru/link/?req=doc&amp;base=LAW&amp;n=507520&amp;date=17.12.2025&amp;dst=101107&amp;field=134&amp;demo=2" TargetMode = "External"/><Relationship Id="rId9" Type="http://schemas.openxmlformats.org/officeDocument/2006/relationships/hyperlink" Target="https://login.consultant.ru/link/?req=doc&amp;base=LAW&amp;n=465775&amp;date=17.12.2025&amp;demo=2" TargetMode = "External"/><Relationship Id="rId10" Type="http://schemas.openxmlformats.org/officeDocument/2006/relationships/hyperlink" Target="https://login.consultant.ru/link/?req=doc&amp;base=LAW&amp;n=509341&amp;date=17.12.2025&amp;dst=193&amp;field=134&amp;demo=2" TargetMode = "External"/><Relationship Id="rId11" Type="http://schemas.openxmlformats.org/officeDocument/2006/relationships/hyperlink" Target="https://login.consultant.ru/link/?req=doc&amp;base=LAW&amp;n=498201&amp;date=17.12.2025&amp;dst=100146&amp;field=134&amp;demo=2" TargetMode = "External"/><Relationship Id="rId12" Type="http://schemas.openxmlformats.org/officeDocument/2006/relationships/hyperlink" Target="https://login.consultant.ru/link/?req=doc&amp;base=LAW&amp;n=498201&amp;date=17.12.2025&amp;dst=100009&amp;field=134&amp;demo=2" TargetMode = "External"/><Relationship Id="rId13" Type="http://schemas.openxmlformats.org/officeDocument/2006/relationships/hyperlink" Target="https://login.consultant.ru/link/?req=doc&amp;base=LAW&amp;n=520108&amp;date=17.12.2025&amp;dst=2686&amp;field=134&amp;demo=2" TargetMode = "External"/><Relationship Id="rId14" Type="http://schemas.openxmlformats.org/officeDocument/2006/relationships/hyperlink" Target="https://login.consultant.ru/link/?req=doc&amp;base=LAW&amp;n=520108&amp;date=17.12.2025&amp;dst=101188&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МЧС России от 09.12.2025 N ИГ-19-14-1576
"О рассмотрении обращения"</dc:title>
  <dcterms:created xsi:type="dcterms:W3CDTF">2025-12-17T12:53:44Z</dcterms:created>
</cp:coreProperties>
</file>