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19 декабря 2025 г. N 36006-ОГ/00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Ваше обращение (вх. Минстроя России от 19 ноября 2025 г. N 39326-ОГ)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правоотношениям, а также проводить контрольные мероприятия.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по вопросам, затронутым в обращении, сообщаем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8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42(1)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установлен порядок определения размера платы за коммунальную услугу по отоплению.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открытой системе отопления и наличии общедомового прибора учета (далее - ОДПУ) тепловой энергии </w:t>
      </w:r>
      <w:hyperlink w:history="0" r:id="rId9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42(1)</w:t>
        </w:r>
      </w:hyperlink>
      <w:r>
        <w:rPr>
          <w:sz w:val="24"/>
        </w:rPr>
        <w:t xml:space="preserve"> Правил N 354 указывает на необходимость определения объема тепловой энергии на нужды отопления расчетным способом путем вычитания из показаний ОДПУ (который фиксирует общее количество тепловой энергии, поступившей в дом для отопления и горячего водоснабжения (далее - ГВС)) объема тепловой энергии, рассчитанной для нужд ГВС исходя из объема потребленной горячей воды и норматива расхода тепловой энергии на подогрев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0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абзаца пятого пункта 42(1)</w:t>
        </w:r>
      </w:hyperlink>
      <w:r>
        <w:rPr>
          <w:sz w:val="24"/>
        </w:rPr>
        <w:t xml:space="preserve"> Правил N 354 в многоквартирном доме (далее - МКД), который оборудован ОДПУ тепловой энергии и в котором хотя бы одно, но не все жилые или нежилые помещения оборудованы индивидуальными и (или) общими (квартирными) приборами учета (далее - ИПУ) тепловой энергии, размер платы за коммунальную услугу по отоплению определяется по </w:t>
      </w:r>
      <w:hyperlink w:history="0" r:id="rId11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 3(1)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3(4)</w:t>
        </w:r>
      </w:hyperlink>
      <w:r>
        <w:rPr>
          <w:sz w:val="24"/>
        </w:rPr>
        <w:t xml:space="preserve"> приложения N 2 к Правилам N 354 на основании показаний ИПУ и ОДПУ тепловой энергии.</w:t>
      </w:r>
    </w:p>
    <w:p>
      <w:pPr>
        <w:pStyle w:val="0"/>
        <w:spacing w:before="240" w:lineRule="auto"/>
        <w:ind w:firstLine="540"/>
        <w:jc w:val="both"/>
      </w:pPr>
      <w:hyperlink w:history="0" r:id="rId13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Формулой 3(1)</w:t>
        </w:r>
      </w:hyperlink>
      <w:r>
        <w:rPr>
          <w:sz w:val="24"/>
        </w:rPr>
        <w:t xml:space="preserve"> приложения N 2 к Правилам N 354 предусмотрен следующий порядок расчета размера платы за отопление: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33"/>
        </w:rPr>
        <w:drawing>
          <wp:inline distT="0" distB="0" distL="0" distR="0">
            <wp:extent cx="2320290" cy="5829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общая площадь i-го помещения (жилого или нежилого) в МКД;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perscript"/>
        </w:rPr>
        <w:t xml:space="preserve">Д</w:t>
      </w:r>
      <w:r>
        <w:rPr>
          <w:sz w:val="24"/>
        </w:rPr>
        <w:t xml:space="preserve"> - объем (количество) потребленной за расчетный период в МКД тепловой энергии, определенный по показаниям ОДПУ;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- общая площадь всех жилых и нежилых помещений в МКД;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T</w:t>
      </w:r>
      <w:r>
        <w:rPr>
          <w:sz w:val="24"/>
          <w:vertAlign w:val="superscript"/>
        </w:rPr>
        <w:t xml:space="preserve">Т</w:t>
      </w:r>
      <w:r>
        <w:rPr>
          <w:sz w:val="24"/>
        </w:rPr>
        <w:t xml:space="preserve"> - тариф (цена) на тепловую энергию, установленный (определенная) в соответствии с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объем (количество) потребленной за расчетный период тепловой энергии, приходящийся на i-е помещение (жилое или нежилое) в МКД и определенный в i-м помещении (жилом или нежилом), оборудованном ИПУ, на основании показаний ИПУ, а в i-м помещении (жилом или нежилом) в МКД, не оборудованном ИПУ, - исходя из площади такого помещения по </w:t>
      </w:r>
      <w:hyperlink w:history="0" r:id="rId15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3(7)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hyperlink w:history="0" r:id="rId16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3(7)</w:t>
        </w:r>
      </w:hyperlink>
      <w:r>
        <w:rPr>
          <w:sz w:val="24"/>
        </w:rPr>
        <w:t xml:space="preserve"> устанавливает порядок расчета величины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в целях применения такой величины в </w:t>
      </w:r>
      <w:hyperlink w:history="0" r:id="rId17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при расчете платы за коммунальную услугу по отоплению в i-м жилом или нежилом помещении в МКД, не оборудованном ИПУ: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8"/>
        </w:rPr>
        <w:drawing>
          <wp:inline distT="0" distB="0" distL="0" distR="0">
            <wp:extent cx="122301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величина, идентичная величине, применяемой в </w:t>
      </w:r>
      <w:hyperlink w:history="0" r:id="rId19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position w:val="-9"/>
        </w:rPr>
        <w:drawing>
          <wp:inline distT="0" distB="0" distL="0" distR="0">
            <wp:extent cx="51435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сумма объемов (количества) тепловой энергии, определенных по показаниям ИПУ;</w:t>
      </w:r>
    </w:p>
    <w:p>
      <w:pPr>
        <w:pStyle w:val="0"/>
        <w:spacing w:before="240" w:lineRule="auto"/>
        <w:ind w:firstLine="540"/>
        <w:jc w:val="both"/>
      </w:pPr>
      <w:r>
        <w:rPr>
          <w:position w:val="-9"/>
        </w:rPr>
        <w:drawing>
          <wp:inline distT="0" distB="0" distL="0" distR="0">
            <wp:extent cx="54864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сумма площадей i-х помещений (жилых или нежилых) в МКД, оборудованных ИПУ, с применением показаний которых осуществляется расчет 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равен нулю в случае, если технической документацией на МКД не предусмотрено наличие в соответствующем жилом или нежилом помещении приборов отопления, или в случае, если переустройство указанного жилого или нежилого помещения, предусматривающее установку индивидуальных источников тепловой энергии, осуществлено в соответствии с требованиями к переустройству, установленными действующим на момент проведения такого переустройства законодательством Российской Федерации (далее - помещения без централизованного отопления).</w:t>
      </w:r>
    </w:p>
    <w:p>
      <w:pPr>
        <w:pStyle w:val="0"/>
        <w:spacing w:before="240" w:lineRule="auto"/>
        <w:ind w:firstLine="540"/>
        <w:jc w:val="both"/>
      </w:pPr>
      <w:hyperlink w:history="0" r:id="rId22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3(7)</w:t>
        </w:r>
      </w:hyperlink>
      <w:r>
        <w:rPr>
          <w:sz w:val="24"/>
        </w:rPr>
        <w:t xml:space="preserve"> устанавливает, что если в i-том помещении (жилом или нежилом) в МКД нет ИПУ, тогда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определяется исходя из площади такого помещения (S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) и удельного среднего расхода теплоэнергии на квадратный метр помещений, оборудованных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для случая отсутствия в помещении ИПУ в связи с тем, что указанное помещение является помещением без централизованного отопления,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приравнивается нулю.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в целях применения указанной величины в </w:t>
      </w:r>
      <w:hyperlink w:history="0" r:id="rId23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определяется для каждого помещения (жилого или нежилого) в МКД, который оборудован ОДПУ тепловой энергии и в котором хотя бы одно, но не все жилые или нежилые помещения оборудованы ИПУ тепловой энергии, следующим образом: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определяется по показаниям ИПУ для помещений, оборудованных ИПУ;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приравнивается нулю для помещений без централизованного отопления;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определяется по </w:t>
      </w:r>
      <w:hyperlink w:history="0" r:id="rId24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3(7)</w:t>
        </w:r>
      </w:hyperlink>
      <w:r>
        <w:rPr>
          <w:sz w:val="24"/>
        </w:rPr>
        <w:t xml:space="preserve"> для помещений, потребляющих теплоэнергию из внутридомовой системы отопления и не оборудованных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Применяемая в </w:t>
      </w:r>
      <w:hyperlink w:history="0" r:id="rId25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величина </w:t>
      </w:r>
      <w:r>
        <w:rPr>
          <w:position w:val="-9"/>
        </w:rPr>
        <w:drawing>
          <wp:inline distT="0" distB="0" distL="0" distR="0">
            <wp:extent cx="32004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является суммой всех величин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, определенных для каждого из помещений (жилых или нежилых) в МКД. Величина </w:t>
      </w:r>
      <w:r>
        <w:rPr>
          <w:position w:val="-9"/>
        </w:rPr>
        <w:drawing>
          <wp:inline distT="0" distB="0" distL="0" distR="0">
            <wp:extent cx="32004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учитывает все величины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, определенные как для помещений, оборудованных ИПУ, так и для помещений, не оборудованных ИПУ, в том числе для помещений без централизованного отопления.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7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61</w:t>
        </w:r>
      </w:hyperlink>
      <w:r>
        <w:rPr>
          <w:sz w:val="24"/>
        </w:rPr>
        <w:t xml:space="preserve"> Правил N 354 если в ходе проводимой исполнителем проверки достоверности предоставленных потребителем сведений о показаниях ИПУ и (или) проверки их состояния исполнителем будет установлено, что ИПУ находится в исправном состоянии, в том числе пломбы на нем не повреждены, но имеются расхождения между показаниями проверяемого ИПУ и объемом коммунального ресурса,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период, то исполнитель обязан произвести перерасчет размера платы за коммунальную услугу и направить потребителю в сроки, установленные для оплаты коммунальных услуг за расчетный период, в котором исполнителем была проведена проверка,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услуги, излишне начисленной потребителю. Излишне уплаченные потребителем суммы подлежат зачету при оплате будущих расчетных периодов.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Перерасчет размера платы должен быть произведен исходя из снятых исполнителем в ходе проверки показаний проверяемого ИПУ. При этом, если потребителем не будет доказано иное, объем (количество) коммунального ресурса в размере выявленной разницы в показаниях считается потребленным потребителем в течение того расчетного периода, в котором исполнителем была проведена проверка.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приведенным положением в случае, если в ходе проведенной исполнителем проверки достоверности предоставленных потребителем сведений о показаниях ИПУ тепловой энергии будет выявлено расхождение между показаниями проверяемого ИПУ тепловой энергии и объемом тепловой энергии, который был использован исполнителем при расчете размера платы за отопление, тогда величина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, применяемая в </w:t>
      </w:r>
      <w:hyperlink w:history="0" r:id="rId28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при расчете платы за отопление за тот расчетный период, в котором была проведена проверка, принимается равной выявленному расхождению.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величина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может быть как положительной, так и отрицательной.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учитывается при расчете величины </w:t>
      </w:r>
      <w:r>
        <w:rPr>
          <w:position w:val="-9"/>
        </w:rPr>
        <w:drawing>
          <wp:inline distT="0" distB="0" distL="0" distR="0">
            <wp:extent cx="32004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, также применяемой в расчетах по </w:t>
      </w:r>
      <w:hyperlink w:history="0" r:id="rId29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Рассчитанный по </w:t>
      </w:r>
      <w:hyperlink w:history="0" r:id="rId30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размер платы за отопление P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предъявляется к оплате собственнику i-того помещения. При этом такой размер платы может быть указан в платежном документе как перерасчет размера платы за отопление.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несмотря на то, что значение </w:t>
      </w:r>
      <w:r>
        <w:rPr>
          <w:position w:val="-9"/>
        </w:rPr>
        <w:drawing>
          <wp:inline distT="0" distB="0" distL="0" distR="0">
            <wp:extent cx="32004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, применяемое в расчетах платы за отопление, одинаково для всех потребителей коммунальной услуги в МКД, перерасчет может быть произведен только тому потребителю, который передал неверные показания ИПУ тепловой энергии.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Прочим потребителям перерасчет не производится, поскольку величина выявленного расхождения между учтенным и фактическим объемом потребленной в помещении тепловой энергии учитывается в составе </w:t>
      </w:r>
      <w:r>
        <w:rPr>
          <w:position w:val="-9"/>
        </w:rPr>
        <w:drawing>
          <wp:inline distT="0" distB="0" distL="0" distR="0">
            <wp:extent cx="320040" cy="2743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в том расчетном периоде, в котором такое расхождение было обнаружено в результате проверки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выявлении расхождений между показаниями ИПУ ГВС и объемом ГВС, который был предъявлен потребителем исполнителю и использован исполнителем при расчете размера платы за ГВС за предшествующий проверке расчетный период, указанное расхождение учитывается в том расчетном периоде, в котором проведена проверка.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этом случае стоимость выявленного расхождения объема ГВС указывается в платежном документе как перерасчет платы за ГВС.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указанный перерасчет не влияет на потребление ГВС другими потребителями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Такой перерасчет может повлиять на объем горячей воды, потребляемой при использовании и содержании общего имущества (далее - ГВС на СОИ), в том числе привести к отрицательному значению этого объема. Однако, изменение объема ГВС на СОИ, вызванное перерасчетом стоимости ГВС отдельному собственнику, само по себе не является перерасчетом.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перерасчет стоимости ГВС для одного из потребителей ГВС в МКД не приводит к перерасчету стоимости ГВС для других потребителей ГВС в таком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19.12.2025 N 36006-ОГ/00</w:t>
            <w:br/>
            <w:t>&lt;По вопросу определения платы за коммунальную услугу по отоплению&gt;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19.12.2025 N 36006-ОГ/00 &lt;По вопросу определения платы за коммунальную услугу по отоплению&gt;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5.12.2025&amp;dst=100015&amp;field=134&amp;demo=2" TargetMode = "External"/><Relationship Id="rId8" Type="http://schemas.openxmlformats.org/officeDocument/2006/relationships/hyperlink" Target="https://login.consultant.ru/link/?req=doc&amp;base=LAW&amp;n=520155&amp;date=25.12.2025&amp;dst=101591&amp;field=134&amp;demo=2" TargetMode = "External"/><Relationship Id="rId9" Type="http://schemas.openxmlformats.org/officeDocument/2006/relationships/hyperlink" Target="https://login.consultant.ru/link/?req=doc&amp;base=LAW&amp;n=520155&amp;date=25.12.2025&amp;dst=101591&amp;field=134&amp;demo=2" TargetMode = "External"/><Relationship Id="rId10" Type="http://schemas.openxmlformats.org/officeDocument/2006/relationships/hyperlink" Target="https://login.consultant.ru/link/?req=doc&amp;base=LAW&amp;n=520155&amp;date=25.12.2025&amp;dst=101594&amp;field=134&amp;demo=2" TargetMode = "External"/><Relationship Id="rId11" Type="http://schemas.openxmlformats.org/officeDocument/2006/relationships/hyperlink" Target="https://login.consultant.ru/link/?req=doc&amp;base=LAW&amp;n=520155&amp;date=25.12.2025&amp;dst=537&amp;field=134&amp;demo=2" TargetMode = "External"/><Relationship Id="rId12" Type="http://schemas.openxmlformats.org/officeDocument/2006/relationships/hyperlink" Target="https://login.consultant.ru/link/?req=doc&amp;base=LAW&amp;n=520155&amp;date=25.12.2025&amp;dst=334&amp;field=134&amp;demo=2" TargetMode = "External"/><Relationship Id="rId13" Type="http://schemas.openxmlformats.org/officeDocument/2006/relationships/hyperlink" Target="https://login.consultant.ru/link/?req=doc&amp;base=LAW&amp;n=520155&amp;date=25.12.2025&amp;dst=537&amp;field=134&amp;demo=2" TargetMode = "External"/><Relationship Id="rId14" Type="http://schemas.openxmlformats.org/officeDocument/2006/relationships/image" Target="media/image2.wmf"/><Relationship Id="rId15" Type="http://schemas.openxmlformats.org/officeDocument/2006/relationships/hyperlink" Target="https://login.consultant.ru/link/?req=doc&amp;base=LAW&amp;n=520155&amp;date=25.12.2025&amp;dst=561&amp;field=134&amp;demo=2" TargetMode = "External"/><Relationship Id="rId16" Type="http://schemas.openxmlformats.org/officeDocument/2006/relationships/hyperlink" Target="https://login.consultant.ru/link/?req=doc&amp;base=LAW&amp;n=520155&amp;date=25.12.2025&amp;dst=561&amp;field=134&amp;demo=2" TargetMode = "External"/><Relationship Id="rId17" Type="http://schemas.openxmlformats.org/officeDocument/2006/relationships/hyperlink" Target="https://login.consultant.ru/link/?req=doc&amp;base=LAW&amp;n=520155&amp;date=25.12.2025&amp;dst=537&amp;field=134&amp;demo=2" TargetMode = "External"/><Relationship Id="rId18" Type="http://schemas.openxmlformats.org/officeDocument/2006/relationships/image" Target="media/image3.wmf"/><Relationship Id="rId19" Type="http://schemas.openxmlformats.org/officeDocument/2006/relationships/hyperlink" Target="https://login.consultant.ru/link/?req=doc&amp;base=LAW&amp;n=520155&amp;date=25.12.2025&amp;dst=537&amp;field=134&amp;demo=2" TargetMode = "External"/><Relationship Id="rId20" Type="http://schemas.openxmlformats.org/officeDocument/2006/relationships/image" Target="media/image4.wmf"/><Relationship Id="rId21" Type="http://schemas.openxmlformats.org/officeDocument/2006/relationships/image" Target="media/image5.wmf"/><Relationship Id="rId22" Type="http://schemas.openxmlformats.org/officeDocument/2006/relationships/hyperlink" Target="https://login.consultant.ru/link/?req=doc&amp;base=LAW&amp;n=520155&amp;date=25.12.2025&amp;dst=561&amp;field=134&amp;demo=2" TargetMode = "External"/><Relationship Id="rId23" Type="http://schemas.openxmlformats.org/officeDocument/2006/relationships/hyperlink" Target="https://login.consultant.ru/link/?req=doc&amp;base=LAW&amp;n=520155&amp;date=25.12.2025&amp;dst=537&amp;field=134&amp;demo=2" TargetMode = "External"/><Relationship Id="rId24" Type="http://schemas.openxmlformats.org/officeDocument/2006/relationships/hyperlink" Target="https://login.consultant.ru/link/?req=doc&amp;base=LAW&amp;n=520155&amp;date=25.12.2025&amp;dst=561&amp;field=134&amp;demo=2" TargetMode = "External"/><Relationship Id="rId25" Type="http://schemas.openxmlformats.org/officeDocument/2006/relationships/hyperlink" Target="https://login.consultant.ru/link/?req=doc&amp;base=LAW&amp;n=520155&amp;date=25.12.2025&amp;dst=537&amp;field=134&amp;demo=2" TargetMode = "External"/><Relationship Id="rId26" Type="http://schemas.openxmlformats.org/officeDocument/2006/relationships/image" Target="media/image6.wmf"/><Relationship Id="rId27" Type="http://schemas.openxmlformats.org/officeDocument/2006/relationships/hyperlink" Target="https://login.consultant.ru/link/?req=doc&amp;base=LAW&amp;n=520155&amp;date=25.12.2025&amp;dst=475&amp;field=134&amp;demo=2" TargetMode = "External"/><Relationship Id="rId28" Type="http://schemas.openxmlformats.org/officeDocument/2006/relationships/hyperlink" Target="https://login.consultant.ru/link/?req=doc&amp;base=LAW&amp;n=520155&amp;date=25.12.2025&amp;dst=537&amp;field=134&amp;demo=2" TargetMode = "External"/><Relationship Id="rId29" Type="http://schemas.openxmlformats.org/officeDocument/2006/relationships/hyperlink" Target="https://login.consultant.ru/link/?req=doc&amp;base=LAW&amp;n=520155&amp;date=25.12.2025&amp;dst=537&amp;field=134&amp;demo=2" TargetMode = "External"/><Relationship Id="rId30" Type="http://schemas.openxmlformats.org/officeDocument/2006/relationships/hyperlink" Target="https://login.consultant.ru/link/?req=doc&amp;base=LAW&amp;n=520155&amp;date=25.12.2025&amp;dst=537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19.12.2025 N 36006-ОГ/00
&lt;По вопросу определения платы за коммунальную услугу по отоплению&gt;</dc:title>
  <dcterms:created xsi:type="dcterms:W3CDTF">2025-12-25T13:23:27Z</dcterms:created>
</cp:coreProperties>
</file>