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25.12.2025 N 2121</w:t>
              <w:br/>
              <w:t xml:space="preserve">"Об утверждении Правил предоставления и оплаты услуг по санаторно-курортному лечению и медицинской реабилитации лиц, указанных в части 11 статьи 7 Федерального закона "О бюджете Фонда пенсионного и социального страхования Российской Федерации на 2026 год и на плановый период 2027 и 2028 годов", в реабилитационных центрах Фонда пенсионного и социального страхования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29.12.2025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25 декабря 2025 г. N 2121</w:t>
      </w:r>
    </w:p>
    <w:p>
      <w:pPr>
        <w:pStyle w:val="2"/>
        <w:jc w:val="center"/>
      </w:pPr>
      <w:r>
        <w:rPr>
          <w:sz w:val="24"/>
        </w:rPr>
      </w:r>
    </w:p>
    <w:p>
      <w:pPr>
        <w:pStyle w:val="2"/>
        <w:jc w:val="center"/>
      </w:pPr>
      <w:r>
        <w:rPr>
          <w:sz w:val="24"/>
        </w:rPr>
        <w:t xml:space="preserve">ОБ УТВЕРЖДЕНИИ ПРАВИЛ</w:t>
      </w:r>
    </w:p>
    <w:p>
      <w:pPr>
        <w:pStyle w:val="2"/>
        <w:jc w:val="center"/>
      </w:pPr>
      <w:r>
        <w:rPr>
          <w:sz w:val="24"/>
        </w:rPr>
        <w:t xml:space="preserve">ПРЕДОСТАВЛЕНИЯ И ОПЛАТЫ УСЛУГ ПО САНАТОРНО-КУРОРТНОМУ</w:t>
      </w:r>
    </w:p>
    <w:p>
      <w:pPr>
        <w:pStyle w:val="2"/>
        <w:jc w:val="center"/>
      </w:pPr>
      <w:r>
        <w:rPr>
          <w:sz w:val="24"/>
        </w:rPr>
        <w:t xml:space="preserve">ЛЕЧЕНИЮ И МЕДИЦИНСКОЙ РЕАБИЛИТАЦИИ ЛИЦ, УКАЗАННЫХ В ЧАСТИ 11</w:t>
      </w:r>
    </w:p>
    <w:p>
      <w:pPr>
        <w:pStyle w:val="2"/>
        <w:jc w:val="center"/>
      </w:pPr>
      <w:r>
        <w:rPr>
          <w:sz w:val="24"/>
        </w:rPr>
        <w:t xml:space="preserve">СТАТЬИ 7 ФЕДЕРАЛЬНОГО ЗАКОНА "О БЮДЖЕТЕ ФОНДА ПЕНСИОННОГО</w:t>
      </w:r>
    </w:p>
    <w:p>
      <w:pPr>
        <w:pStyle w:val="2"/>
        <w:jc w:val="center"/>
      </w:pPr>
      <w:r>
        <w:rPr>
          <w:sz w:val="24"/>
        </w:rPr>
        <w:t xml:space="preserve">И СОЦИАЛЬНОГО СТРАХОВАНИЯ РОССИЙСКОЙ ФЕДЕРАЦИИ НА 2026 ГОД</w:t>
      </w:r>
    </w:p>
    <w:p>
      <w:pPr>
        <w:pStyle w:val="2"/>
        <w:jc w:val="center"/>
      </w:pPr>
      <w:r>
        <w:rPr>
          <w:sz w:val="24"/>
        </w:rPr>
        <w:t xml:space="preserve">И НА ПЛАНОВЫЙ ПЕРИОД 2027 И 2028 ГОДОВ", В РЕАБИЛИТАЦИОННЫХ</w:t>
      </w:r>
    </w:p>
    <w:p>
      <w:pPr>
        <w:pStyle w:val="2"/>
        <w:jc w:val="center"/>
      </w:pPr>
      <w:r>
        <w:rPr>
          <w:sz w:val="24"/>
        </w:rPr>
        <w:t xml:space="preserve">ЦЕНТРАХ ФОНДА ПЕНСИОННОГО И СОЦИАЛЬНОГО СТРАХОВАНИЯ</w:t>
      </w:r>
    </w:p>
    <w:p>
      <w:pPr>
        <w:pStyle w:val="2"/>
        <w:jc w:val="center"/>
      </w:pPr>
      <w:r>
        <w:rPr>
          <w:sz w:val="24"/>
        </w:rPr>
        <w:t xml:space="preserve">РОССИЙСКОЙ ФЕДЕРАЦИИ</w:t>
      </w:r>
    </w:p>
    <w:p>
      <w:pPr>
        <w:pStyle w:val="0"/>
        <w:jc w:val="both"/>
      </w:pPr>
      <w:r>
        <w:rPr>
          <w:sz w:val="24"/>
        </w:rPr>
      </w:r>
    </w:p>
    <w:p>
      <w:pPr>
        <w:pStyle w:val="0"/>
        <w:ind w:firstLine="540"/>
        <w:jc w:val="both"/>
      </w:pPr>
      <w:r>
        <w:rPr>
          <w:sz w:val="24"/>
        </w:rPr>
        <w:t xml:space="preserve">В соответствии со </w:t>
      </w:r>
      <w:hyperlink w:history="0" r:id="rId8" w:tooltip="Федеральный закон от 28.11.2025 N 427-ФЗ &quot;О бюджете Фонда пенсионного и социального страхования Российской Федерации на 2026 год и на плановый период 2027 и 2028 годов&quot; ------------ Не вступил в силу {КонсультантПлюс}">
        <w:r>
          <w:rPr>
            <w:sz w:val="24"/>
            <w:color w:val="0000ff"/>
          </w:rPr>
          <w:t xml:space="preserve">статьей 7</w:t>
        </w:r>
      </w:hyperlink>
      <w:r>
        <w:rPr>
          <w:sz w:val="24"/>
        </w:rPr>
        <w:t xml:space="preserve"> Федерального закона "О бюджете Фонда пенсионного и социального страхования Российской Федерации на 2026 год и на плановый период 2027 и 2028 годов" 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33" w:tooltip="ПРАВИЛА">
        <w:r>
          <w:rPr>
            <w:sz w:val="24"/>
            <w:color w:val="0000ff"/>
          </w:rPr>
          <w:t xml:space="preserve">Правила</w:t>
        </w:r>
      </w:hyperlink>
      <w:r>
        <w:rPr>
          <w:sz w:val="24"/>
        </w:rPr>
        <w:t xml:space="preserve"> предоставления и оплаты услуг по санаторно-курортному лечению и медицинской реабилитации лиц, указанных в части 11 статьи 7 Федерального закона "О бюджете Фонда пенсионного и социального страхования Российской Федерации на 2026 год и на плановый период 2027 и 2028 годов", в реабилитационных центрах Фонда пенсионного и социального страхования Российской Федерации.</w:t>
      </w:r>
    </w:p>
    <w:p>
      <w:pPr>
        <w:pStyle w:val="0"/>
        <w:spacing w:before="240" w:lineRule="auto"/>
        <w:ind w:firstLine="540"/>
        <w:jc w:val="both"/>
      </w:pPr>
      <w:r>
        <w:rPr>
          <w:sz w:val="24"/>
        </w:rPr>
        <w:t xml:space="preserve">2. Установить, что оплата расходов, предусмотренных </w:t>
      </w:r>
      <w:hyperlink w:history="0" r:id="rId9" w:tooltip="Постановление Правительства РФ от 28.12.2024 N 1960 &quot;Об утверждении Правил предоставления и оплаты услуг по санаторно-курортному лечению, медицинской реабилитации лиц, указанных в части 10 статьи 7 Федерального закона &quot;О бюджете Фонда пенсионного и социального страхования Российской Федерации на 2025 год и на плановый период 2026 и 2027 годов&quot;, в центрах реабилитации Фонда пенсионного и социального страхования Российской Федерации&quot; {КонсультантПлюс}">
        <w:r>
          <w:rPr>
            <w:sz w:val="24"/>
            <w:color w:val="0000ff"/>
          </w:rPr>
          <w:t xml:space="preserve">пунктом 26</w:t>
        </w:r>
      </w:hyperlink>
      <w:r>
        <w:rPr>
          <w:sz w:val="24"/>
        </w:rPr>
        <w:t xml:space="preserve"> Правил предоставления и оплаты услуг по санаторно-курортному лечению, медицинской реабилитации лиц, указанных в части 10 статьи 7 Федерального закона "О бюджете Фонда пенсионного и социального страхования Российской Федерации на 2025 год и на плановый период 2026 и 2027 годов", в центрах реабилитации Фонда пенсионного и социального страхования Российской Федерации", утвержденных постановлением Правительства Российской Федерации от 28 декабря 2024 г. N 1960 "Об утверждении Правил предоставления и оплаты услуг по санаторно-курортному лечению, медицинской реабилитации лиц, указанных в части 10 статьи 7 Федерального закона "О бюджете Фонда пенсионного и социального страхования Российской Федерации на 2025 год и на плановый период 2026 и 2027 годов", в центрах реабилитации Фонда пенсионного и социального страхования Российской Федерации", не произведенная Фондом пенсионного и социального страхования Российской Федерации по состоянию на 1 января 2026 г., осуществляется в соответствии с </w:t>
      </w:r>
      <w:hyperlink w:history="0" w:anchor="P33" w:tooltip="ПРАВИЛА">
        <w:r>
          <w:rPr>
            <w:sz w:val="24"/>
            <w:color w:val="0000ff"/>
          </w:rPr>
          <w:t xml:space="preserve">Правилами</w:t>
        </w:r>
      </w:hyperlink>
      <w:r>
        <w:rPr>
          <w:sz w:val="24"/>
        </w:rPr>
        <w:t xml:space="preserve">, утвержденными настоящим постановлением.</w:t>
      </w:r>
    </w:p>
    <w:p>
      <w:pPr>
        <w:pStyle w:val="0"/>
        <w:spacing w:before="240" w:lineRule="auto"/>
        <w:ind w:firstLine="540"/>
        <w:jc w:val="both"/>
      </w:pPr>
      <w:r>
        <w:rPr>
          <w:sz w:val="24"/>
        </w:rPr>
        <w:t xml:space="preserve">3. Настоящее постановление вступает в силу с 1 января 2026 г.</w:t>
      </w:r>
    </w:p>
    <w:p>
      <w:pPr>
        <w:pStyle w:val="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25 декабря 2025 г. N 2121</w:t>
      </w:r>
    </w:p>
    <w:p>
      <w:pPr>
        <w:pStyle w:val="0"/>
        <w:jc w:val="both"/>
      </w:pPr>
      <w:r>
        <w:rPr>
          <w:sz w:val="24"/>
        </w:rPr>
      </w:r>
    </w:p>
    <w:bookmarkStart w:id="33" w:name="P33"/>
    <w:bookmarkEnd w:id="33"/>
    <w:p>
      <w:pPr>
        <w:pStyle w:val="2"/>
        <w:jc w:val="center"/>
      </w:pPr>
      <w:r>
        <w:rPr>
          <w:sz w:val="24"/>
        </w:rPr>
        <w:t xml:space="preserve">ПРАВИЛА</w:t>
      </w:r>
    </w:p>
    <w:p>
      <w:pPr>
        <w:pStyle w:val="2"/>
        <w:jc w:val="center"/>
      </w:pPr>
      <w:r>
        <w:rPr>
          <w:sz w:val="24"/>
        </w:rPr>
        <w:t xml:space="preserve">ПРЕДОСТАВЛЕНИЯ И ОПЛАТЫ УСЛУГ ПО САНАТОРНО-КУРОРТНОМУ</w:t>
      </w:r>
    </w:p>
    <w:p>
      <w:pPr>
        <w:pStyle w:val="2"/>
        <w:jc w:val="center"/>
      </w:pPr>
      <w:r>
        <w:rPr>
          <w:sz w:val="24"/>
        </w:rPr>
        <w:t xml:space="preserve">ЛЕЧЕНИЮ И МЕДИЦИНСКОЙ РЕАБИЛИТАЦИИ ЛИЦ, УКАЗАННЫХ В ЧАСТИ 11</w:t>
      </w:r>
    </w:p>
    <w:p>
      <w:pPr>
        <w:pStyle w:val="2"/>
        <w:jc w:val="center"/>
      </w:pPr>
      <w:r>
        <w:rPr>
          <w:sz w:val="24"/>
        </w:rPr>
        <w:t xml:space="preserve">СТАТЬИ 7 ФЕДЕРАЛЬНОГО ЗАКОНА "О БЮДЖЕТЕ ФОНДА ПЕНСИОННОГО</w:t>
      </w:r>
    </w:p>
    <w:p>
      <w:pPr>
        <w:pStyle w:val="2"/>
        <w:jc w:val="center"/>
      </w:pPr>
      <w:r>
        <w:rPr>
          <w:sz w:val="24"/>
        </w:rPr>
        <w:t xml:space="preserve">И СОЦИАЛЬНОГО СТРАХОВАНИЯ РОССИЙСКОЙ ФЕДЕРАЦИИ НА 2026 ГОД</w:t>
      </w:r>
    </w:p>
    <w:p>
      <w:pPr>
        <w:pStyle w:val="2"/>
        <w:jc w:val="center"/>
      </w:pPr>
      <w:r>
        <w:rPr>
          <w:sz w:val="24"/>
        </w:rPr>
        <w:t xml:space="preserve">И НА ПЛАНОВЫЙ ПЕРИОД 2027 И 2028 ГОДОВ", В РЕАБИЛИТАЦИОННЫХ</w:t>
      </w:r>
    </w:p>
    <w:p>
      <w:pPr>
        <w:pStyle w:val="2"/>
        <w:jc w:val="center"/>
      </w:pPr>
      <w:r>
        <w:rPr>
          <w:sz w:val="24"/>
        </w:rPr>
        <w:t xml:space="preserve">ЦЕНТРАХ ФОНДА ПЕНСИОННОГО И СОЦИАЛЬНОГО СТРАХОВАНИЯ</w:t>
      </w:r>
    </w:p>
    <w:p>
      <w:pPr>
        <w:pStyle w:val="2"/>
        <w:jc w:val="center"/>
      </w:pPr>
      <w:r>
        <w:rPr>
          <w:sz w:val="24"/>
        </w:rPr>
        <w:t xml:space="preserve">РОССИЙСКОЙ ФЕДЕРАЦИИ</w:t>
      </w:r>
    </w:p>
    <w:p>
      <w:pPr>
        <w:pStyle w:val="0"/>
        <w:jc w:val="both"/>
      </w:pPr>
      <w:r>
        <w:rPr>
          <w:sz w:val="24"/>
        </w:rPr>
      </w:r>
    </w:p>
    <w:bookmarkStart w:id="42" w:name="P42"/>
    <w:bookmarkEnd w:id="42"/>
    <w:p>
      <w:pPr>
        <w:pStyle w:val="0"/>
        <w:ind w:firstLine="540"/>
        <w:jc w:val="both"/>
      </w:pPr>
      <w:r>
        <w:rPr>
          <w:sz w:val="24"/>
        </w:rPr>
        <w:t xml:space="preserve">1. Настоящие Правила определяют порядок предоставления и оплаты услуг по санаторно-курортному лечению и медицинской реабилитации в реабилитационных центрах Фонда пенсионного и социального страхования Российской Федерации (далее соответственно - Фонд, санаторно-курортное лечение, медицинская реабилитация), проезда к месту прохождения санаторно-курортного лечения и медицинской реабилитации и обратно, включая возмещение фактически понесенных расходов и оплату транспортным организациям указанных расходов (далее - транспортные расходы) ветеранов боевых действий из числа лиц, проходивших военную службу в Вооруженных Силах Российской Федерации, в том числе призванных на военную службу по мобилизации или заключивших контракт в соответствии с </w:t>
      </w:r>
      <w:hyperlink w:history="0" r:id="rId10" w:tooltip="Федеральный закон от 28.03.1998 N 53-ФЗ (ред. от 15.12.2025) &quot;О воинской обязанности и военной службе&quot; {КонсультантПлюс}">
        <w:r>
          <w:rPr>
            <w:sz w:val="24"/>
            <w:color w:val="0000ff"/>
          </w:rPr>
          <w:t xml:space="preserve">пунктом 7 статьи 38</w:t>
        </w:r>
      </w:hyperlink>
      <w:r>
        <w:rPr>
          <w:sz w:val="24"/>
        </w:rPr>
        <w:t xml:space="preserve"> Федерального закона "О воинской обязанности и военной службе", лиц, находившихся на военной службе, службе в войсках национальной гвардии Российской Федерации, в воинских формированиях и органах, указанных в </w:t>
      </w:r>
      <w:hyperlink w:history="0" r:id="rId11" w:tooltip="Федеральный закон от 31.05.1996 N 61-ФЗ (ред. от 04.11.2025) &quot;Об обороне&quot; {КонсультантПлюс}">
        <w:r>
          <w:rPr>
            <w:sz w:val="24"/>
            <w:color w:val="0000ff"/>
          </w:rPr>
          <w:t xml:space="preserve">пункте 6 статьи 1</w:t>
        </w:r>
      </w:hyperlink>
      <w:r>
        <w:rPr>
          <w:sz w:val="24"/>
        </w:rPr>
        <w:t xml:space="preserve"> Федерального закона "Об обороне", граждан, пребывавших в добровольческих формированиях, предусмотренных Федеральным </w:t>
      </w:r>
      <w:hyperlink w:history="0" r:id="rId12" w:tooltip="Федеральный закон от 31.05.1996 N 61-ФЗ (ред. от 04.11.2025) &quot;Об обороне&quot; {КонсультантПлюс}">
        <w:r>
          <w:rPr>
            <w:sz w:val="24"/>
            <w:color w:val="0000ff"/>
          </w:rPr>
          <w:t xml:space="preserve">законом</w:t>
        </w:r>
      </w:hyperlink>
      <w:r>
        <w:rPr>
          <w:sz w:val="24"/>
        </w:rPr>
        <w:t xml:space="preserve"> "Об обороне",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или выполнявших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лиц, указанных в </w:t>
      </w:r>
      <w:hyperlink w:history="0" r:id="rId13" w:tooltip="Федеральный закон от 12.01.1995 N 5-ФЗ (ред. от 27.10.2025) &quot;О ветеранах&quot; {КонсультантПлюс}">
        <w:r>
          <w:rPr>
            <w:sz w:val="24"/>
            <w:color w:val="0000ff"/>
          </w:rPr>
          <w:t xml:space="preserve">подпунктах 2.1</w:t>
        </w:r>
      </w:hyperlink>
      <w:r>
        <w:rPr>
          <w:sz w:val="24"/>
        </w:rPr>
        <w:t xml:space="preserve"> и </w:t>
      </w:r>
      <w:hyperlink w:history="0" r:id="rId14" w:tooltip="Федеральный закон от 12.01.1995 N 5-ФЗ (ред. от 27.10.2025) &quot;О ветеранах&quot; {КонсультантПлюс}">
        <w:r>
          <w:rPr>
            <w:sz w:val="24"/>
            <w:color w:val="0000ff"/>
          </w:rPr>
          <w:t xml:space="preserve">2.4 пункта 1 статьи 3</w:t>
        </w:r>
      </w:hyperlink>
      <w:r>
        <w:rPr>
          <w:sz w:val="24"/>
        </w:rPr>
        <w:t xml:space="preserve"> Федерального закона "О ветеранах" (далее - участники специальной военной операции), а также порядок оплаты транспортных расходов, проживания и питания лиц, сопровождающих участников специальной военной операции (далее - сопровождающие лица), если участникам специальной военной операции установлена инвалидность I группы или если нуждаемость в сопровождении обусловлена медицинскими показаниями, в каждом случае сопровождения участника специальной военной операции для получения санаторно-курортного лечения и (или) медицинской реабилитации (далее - сопровождение).</w:t>
      </w:r>
    </w:p>
    <w:p>
      <w:pPr>
        <w:pStyle w:val="0"/>
        <w:spacing w:before="240" w:lineRule="auto"/>
        <w:ind w:firstLine="540"/>
        <w:jc w:val="both"/>
      </w:pPr>
      <w:r>
        <w:rPr>
          <w:sz w:val="24"/>
        </w:rPr>
        <w:t xml:space="preserve">2. Финансовому обеспечению подлежат расходы на осуществление следующих мероприятий:</w:t>
      </w:r>
    </w:p>
    <w:p>
      <w:pPr>
        <w:pStyle w:val="0"/>
        <w:spacing w:before="240" w:lineRule="auto"/>
        <w:ind w:firstLine="540"/>
        <w:jc w:val="both"/>
      </w:pPr>
      <w:r>
        <w:rPr>
          <w:sz w:val="24"/>
        </w:rPr>
        <w:t xml:space="preserve">а) медицинская реабилитация участников специальной военной операции, их проживание и питание;</w:t>
      </w:r>
    </w:p>
    <w:p>
      <w:pPr>
        <w:pStyle w:val="0"/>
        <w:spacing w:before="240" w:lineRule="auto"/>
        <w:ind w:firstLine="540"/>
        <w:jc w:val="both"/>
      </w:pPr>
      <w:r>
        <w:rPr>
          <w:sz w:val="24"/>
        </w:rPr>
        <w:t xml:space="preserve">б) санаторно-курортное лечение участников специальной военной операции, их проживание и питание;</w:t>
      </w:r>
    </w:p>
    <w:p>
      <w:pPr>
        <w:pStyle w:val="0"/>
        <w:spacing w:before="240" w:lineRule="auto"/>
        <w:ind w:firstLine="540"/>
        <w:jc w:val="both"/>
      </w:pPr>
      <w:r>
        <w:rPr>
          <w:sz w:val="24"/>
        </w:rPr>
        <w:t xml:space="preserve">в) оплата транспортных расходов участников специальной военной операции;</w:t>
      </w:r>
    </w:p>
    <w:p>
      <w:pPr>
        <w:pStyle w:val="0"/>
        <w:spacing w:before="240" w:lineRule="auto"/>
        <w:ind w:firstLine="540"/>
        <w:jc w:val="both"/>
      </w:pPr>
      <w:r>
        <w:rPr>
          <w:sz w:val="24"/>
        </w:rPr>
        <w:t xml:space="preserve">г) проживание, питание и оплата транспортных расходов сопровождающих лиц.</w:t>
      </w:r>
    </w:p>
    <w:p>
      <w:pPr>
        <w:pStyle w:val="0"/>
        <w:spacing w:before="240" w:lineRule="auto"/>
        <w:ind w:firstLine="540"/>
        <w:jc w:val="both"/>
      </w:pPr>
      <w:r>
        <w:rPr>
          <w:sz w:val="24"/>
        </w:rPr>
        <w:t xml:space="preserve">3. Фонд обеспечивает персональное сопровождение участника специальной военной операции на протяжении всего процесса его направления на санаторно-курортное лечение и (или) медицинскую реабилитацию.</w:t>
      </w:r>
    </w:p>
    <w:p>
      <w:pPr>
        <w:pStyle w:val="0"/>
        <w:spacing w:before="240" w:lineRule="auto"/>
        <w:ind w:firstLine="540"/>
        <w:jc w:val="both"/>
      </w:pPr>
      <w:r>
        <w:rPr>
          <w:sz w:val="24"/>
        </w:rPr>
        <w:t xml:space="preserve">4. В целях предоставления участникам специальной военной операции санаторно-курортного лечения и (или) медицинской реабилитации Фонд:</w:t>
      </w:r>
    </w:p>
    <w:p>
      <w:pPr>
        <w:pStyle w:val="0"/>
        <w:spacing w:before="240" w:lineRule="auto"/>
        <w:ind w:firstLine="540"/>
        <w:jc w:val="both"/>
      </w:pPr>
      <w:r>
        <w:rPr>
          <w:sz w:val="24"/>
        </w:rPr>
        <w:t xml:space="preserve">а) выявляет лиц, указанных в </w:t>
      </w:r>
      <w:hyperlink w:history="0" w:anchor="P42" w:tooltip="1. Настоящие Правила определяют порядок предоставления и оплаты услуг по санаторно-курортному лечению и медицинской реабилитации в реабилитационных центрах Фонда пенсионного и социального страхования Российской Федерации (далее соответственно - Фонд, санаторно-курортное лечение, медицинская реабилитация), проезда к месту прохождения санаторно-курортного лечения и медицинской реабилитации и обратно, включая возмещение фактически понесенных расходов и оплату транспортным организациям указанных расходов (да...">
        <w:r>
          <w:rPr>
            <w:sz w:val="24"/>
            <w:color w:val="0000ff"/>
          </w:rPr>
          <w:t xml:space="preserve">пункте 1</w:t>
        </w:r>
      </w:hyperlink>
      <w:r>
        <w:rPr>
          <w:sz w:val="24"/>
        </w:rPr>
        <w:t xml:space="preserve"> настоящих Правил (за исключением сопровождающих лиц), с использованием централизованного информационного учета сведений о лицах, указанных в </w:t>
      </w:r>
      <w:hyperlink w:history="0" r:id="rId15" w:tooltip="Указ Президента РФ от 03.04.2023 N 232 (ред. от 20.03.2025) &quot;О создании Государственного фонда поддержки участников специальной военной операции &quot;Защитники Отечества&quot; (с изм. и доп., вступ. в силу с 01.05.2025) {КонсультантПлюс}">
        <w:r>
          <w:rPr>
            <w:sz w:val="24"/>
            <w:color w:val="0000ff"/>
          </w:rPr>
          <w:t xml:space="preserve">абзацах втором</w:t>
        </w:r>
      </w:hyperlink>
      <w:r>
        <w:rPr>
          <w:sz w:val="24"/>
        </w:rPr>
        <w:t xml:space="preserve"> и </w:t>
      </w:r>
      <w:hyperlink w:history="0" r:id="rId16" w:tooltip="Указ Президента РФ от 03.04.2023 N 232 (ред. от 20.03.2025) &quot;О создании Государственного фонда поддержки участников специальной военной операции &quot;Защитники Отечества&quot; (с изм. и доп., вступ. в силу с 01.05.2025) {КонсультантПлюс}">
        <w:r>
          <w:rPr>
            <w:sz w:val="24"/>
            <w:color w:val="0000ff"/>
          </w:rPr>
          <w:t xml:space="preserve">третьем подпункта "в" пункта 2</w:t>
        </w:r>
      </w:hyperlink>
      <w:r>
        <w:rPr>
          <w:sz w:val="24"/>
        </w:rPr>
        <w:t xml:space="preserve"> Указа Президента Российской Федерации от 3 апреля 2023 г. N 232 "О создании Государственного фонда поддержки участников специальной военной операции "Защитники Отечества", формирование и ведение которого осуществляются Фондом в федеральной государственной информационной системе "Единая интегрированная информационная система "Соцстрах" (далее - централизованный информационный учет), а также сведений, содержащихся в государственной информационной системе "Единая централизованная цифровая платформа в социальной сфере", и информирует их о возможности получения услуг по санаторно-курортному лечению и (или) медицинской реабилитации;</w:t>
      </w:r>
    </w:p>
    <w:p>
      <w:pPr>
        <w:pStyle w:val="0"/>
        <w:spacing w:before="240" w:lineRule="auto"/>
        <w:ind w:firstLine="540"/>
        <w:jc w:val="both"/>
      </w:pPr>
      <w:r>
        <w:rPr>
          <w:sz w:val="24"/>
        </w:rPr>
        <w:t xml:space="preserve">б) информирует медицинские организации о возможности направления участников специальной военной операции в реабилитационные центры Фонда для санаторно-курортного лечения и (или) медицинской реабилитации.</w:t>
      </w:r>
    </w:p>
    <w:p>
      <w:pPr>
        <w:pStyle w:val="0"/>
        <w:spacing w:before="240" w:lineRule="auto"/>
        <w:ind w:firstLine="540"/>
        <w:jc w:val="both"/>
      </w:pPr>
      <w:r>
        <w:rPr>
          <w:sz w:val="24"/>
        </w:rPr>
        <w:t xml:space="preserve">5. Реабилитационные центры Фонда оказывают услуги по санаторно-курортному лечению и санаторно-курортному лечению с сопровождением, медицинской реабилитации и медицинской реабилитации с сопровождением в соответствии с государственным заданием, утверждаемым в порядке, установленном законодательством Российской Федерации.</w:t>
      </w:r>
    </w:p>
    <w:p>
      <w:pPr>
        <w:pStyle w:val="0"/>
        <w:spacing w:before="240" w:lineRule="auto"/>
        <w:ind w:firstLine="540"/>
        <w:jc w:val="both"/>
      </w:pPr>
      <w:r>
        <w:rPr>
          <w:sz w:val="24"/>
        </w:rPr>
        <w:t xml:space="preserve">6. Продолжительность санаторно-курортного лечения составляет не более 21 календарного дня.</w:t>
      </w:r>
    </w:p>
    <w:bookmarkStart w:id="54" w:name="P54"/>
    <w:bookmarkEnd w:id="54"/>
    <w:p>
      <w:pPr>
        <w:pStyle w:val="0"/>
        <w:spacing w:before="240" w:lineRule="auto"/>
        <w:ind w:firstLine="540"/>
        <w:jc w:val="both"/>
      </w:pPr>
      <w:r>
        <w:rPr>
          <w:sz w:val="24"/>
        </w:rPr>
        <w:t xml:space="preserve">7. Периодичность предоставления услуг по санаторно-курортному лечению составляет один раз в течение календарного года.</w:t>
      </w:r>
    </w:p>
    <w:p>
      <w:pPr>
        <w:pStyle w:val="0"/>
        <w:spacing w:before="240" w:lineRule="auto"/>
        <w:ind w:firstLine="540"/>
        <w:jc w:val="both"/>
      </w:pPr>
      <w:r>
        <w:rPr>
          <w:sz w:val="24"/>
        </w:rPr>
        <w:t xml:space="preserve">8. Направление участников специальной военной операции на медицинскую реабилитацию осуществляется в сроки, определяемые с учетом медицинских показаний и возможностей проведения медицинской реабилитации в соответствии с такими показаниями в реабилитационных центрах Фонда.</w:t>
      </w:r>
    </w:p>
    <w:p>
      <w:pPr>
        <w:pStyle w:val="0"/>
        <w:spacing w:before="240" w:lineRule="auto"/>
        <w:ind w:firstLine="540"/>
        <w:jc w:val="both"/>
      </w:pPr>
      <w:r>
        <w:rPr>
          <w:sz w:val="24"/>
        </w:rPr>
        <w:t xml:space="preserve">9. В случае нуждаемости участника специальной военной операции в санаторно-курортном лечении и медицинской реабилитации в течение одного календарного года последовательность предоставления соответствующих услуг определяется реабилитационным центром Фонда с учетом медицинских показаний и данных анализа предшествующего медицинского обследования.</w:t>
      </w:r>
    </w:p>
    <w:p>
      <w:pPr>
        <w:pStyle w:val="0"/>
        <w:spacing w:before="240" w:lineRule="auto"/>
        <w:ind w:firstLine="540"/>
        <w:jc w:val="both"/>
      </w:pPr>
      <w:r>
        <w:rPr>
          <w:sz w:val="24"/>
        </w:rPr>
        <w:t xml:space="preserve">10. Участники специальной военной операции, удостоенные звания Героя Российской Федерации или являющиеся инвалидами I группы, направляются на санаторно-курортное лечение и (или) медицинскую реабилитацию во внеочередном порядке.</w:t>
      </w:r>
    </w:p>
    <w:p>
      <w:pPr>
        <w:pStyle w:val="0"/>
        <w:spacing w:before="240" w:lineRule="auto"/>
        <w:ind w:firstLine="540"/>
        <w:jc w:val="both"/>
      </w:pPr>
      <w:r>
        <w:rPr>
          <w:sz w:val="24"/>
        </w:rPr>
        <w:t xml:space="preserve">11. Участник специальной военной операции обращается в территориальный орган Фонда с заявлением о предоставлении услуг по санаторно-курортному лечению и (или) медицинской реабилитации по форме согласно </w:t>
      </w:r>
      <w:hyperlink w:history="0" w:anchor="P126" w:tooltip="ЗАЯВЛЕНИЕ">
        <w:r>
          <w:rPr>
            <w:sz w:val="24"/>
            <w:color w:val="0000ff"/>
          </w:rPr>
          <w:t xml:space="preserve">приложению N 1</w:t>
        </w:r>
      </w:hyperlink>
      <w:r>
        <w:rPr>
          <w:sz w:val="24"/>
        </w:rPr>
        <w:t xml:space="preserve"> (далее - заявление о предоставлении услуг).</w:t>
      </w:r>
    </w:p>
    <w:p>
      <w:pPr>
        <w:pStyle w:val="0"/>
        <w:spacing w:before="240" w:lineRule="auto"/>
        <w:ind w:firstLine="540"/>
        <w:jc w:val="both"/>
      </w:pPr>
      <w:r>
        <w:rPr>
          <w:sz w:val="24"/>
        </w:rPr>
        <w:t xml:space="preserve">12. </w:t>
      </w:r>
      <w:hyperlink w:history="0" w:anchor="P126" w:tooltip="ЗАЯВЛЕНИЕ">
        <w:r>
          <w:rPr>
            <w:sz w:val="24"/>
            <w:color w:val="0000ff"/>
          </w:rPr>
          <w:t xml:space="preserve">Заявление</w:t>
        </w:r>
      </w:hyperlink>
      <w:r>
        <w:rPr>
          <w:sz w:val="24"/>
        </w:rPr>
        <w:t xml:space="preserve"> о предоставлении услуг может быть подано одним из следующих способов:</w:t>
      </w:r>
    </w:p>
    <w:bookmarkStart w:id="60" w:name="P60"/>
    <w:bookmarkEnd w:id="60"/>
    <w:p>
      <w:pPr>
        <w:pStyle w:val="0"/>
        <w:spacing w:before="240" w:lineRule="auto"/>
        <w:ind w:firstLine="540"/>
        <w:jc w:val="both"/>
      </w:pPr>
      <w:r>
        <w:rPr>
          <w:sz w:val="24"/>
        </w:rPr>
        <w:t xml:space="preserve">а) в форме электронного документа посредством федеральной государственной информационной системы "Единый портал государственных и муниципальных услуг (функций)" (далее - единый портал) (формирование </w:t>
      </w:r>
      <w:hyperlink w:history="0" w:anchor="P126" w:tooltip="ЗАЯВЛЕНИЕ">
        <w:r>
          <w:rPr>
            <w:sz w:val="24"/>
            <w:color w:val="0000ff"/>
          </w:rPr>
          <w:t xml:space="preserve">заявления</w:t>
        </w:r>
      </w:hyperlink>
      <w:r>
        <w:rPr>
          <w:sz w:val="24"/>
        </w:rPr>
        <w:t xml:space="preserve"> о предоставлении услуг осуществляется посредством заполнения интерактивной формы без необходимости дополнительной подачи </w:t>
      </w:r>
      <w:hyperlink w:history="0" w:anchor="P126" w:tooltip="ЗАЯВЛЕНИЕ">
        <w:r>
          <w:rPr>
            <w:sz w:val="24"/>
            <w:color w:val="0000ff"/>
          </w:rPr>
          <w:t xml:space="preserve">заявления</w:t>
        </w:r>
      </w:hyperlink>
      <w:r>
        <w:rPr>
          <w:sz w:val="24"/>
        </w:rPr>
        <w:t xml:space="preserve"> о предоставлении услуг в какой-либо иной форме);</w:t>
      </w:r>
    </w:p>
    <w:bookmarkStart w:id="61" w:name="P61"/>
    <w:bookmarkEnd w:id="61"/>
    <w:p>
      <w:pPr>
        <w:pStyle w:val="0"/>
        <w:spacing w:before="240" w:lineRule="auto"/>
        <w:ind w:firstLine="540"/>
        <w:jc w:val="both"/>
      </w:pPr>
      <w:r>
        <w:rPr>
          <w:sz w:val="24"/>
        </w:rPr>
        <w:t xml:space="preserve">б) лично участником специальной военной операции в форме документа на бумажном носителе в территориальный орган Фонда по его выбору независимо от места его жительства или места пребывания;</w:t>
      </w:r>
    </w:p>
    <w:p>
      <w:pPr>
        <w:pStyle w:val="0"/>
        <w:spacing w:before="240" w:lineRule="auto"/>
        <w:ind w:firstLine="540"/>
        <w:jc w:val="both"/>
      </w:pPr>
      <w:r>
        <w:rPr>
          <w:sz w:val="24"/>
        </w:rPr>
        <w:t xml:space="preserve">в) через медицинскую организацию в случае, указанном в </w:t>
      </w:r>
      <w:hyperlink w:history="0" w:anchor="P67" w:tooltip="14. В случае выявления медицинской организацией, в которой участник специальной военной операции получает специализированную, в том числе высокотехнологичную, медицинскую помощь или в которой он состоит под диспансерным наблюдением, медицинских показаний для прохождения участником специальной военной операции санаторно-курортного лечения и (или) медицинской реабилитации и при отсутствии у него медицинских противопоказаний такая медицинская организация при наличии согласия участника специальной военной оп...">
        <w:r>
          <w:rPr>
            <w:sz w:val="24"/>
            <w:color w:val="0000ff"/>
          </w:rPr>
          <w:t xml:space="preserve">пункте 14</w:t>
        </w:r>
      </w:hyperlink>
      <w:r>
        <w:rPr>
          <w:sz w:val="24"/>
        </w:rPr>
        <w:t xml:space="preserve"> настоящих Правил;</w:t>
      </w:r>
    </w:p>
    <w:bookmarkStart w:id="63" w:name="P63"/>
    <w:bookmarkEnd w:id="63"/>
    <w:p>
      <w:pPr>
        <w:pStyle w:val="0"/>
        <w:spacing w:before="240" w:lineRule="auto"/>
        <w:ind w:firstLine="540"/>
        <w:jc w:val="both"/>
      </w:pPr>
      <w:r>
        <w:rPr>
          <w:sz w:val="24"/>
        </w:rPr>
        <w:t xml:space="preserve">г) через многофункциональный центр предоставления государственных и муниципальных услуг при наличии заключенного соглашения о взаимодействии между территориальным органом Фонда и указанным многофункциональным центром, уполномоченным на заключение такого соглашения на основании Федерального </w:t>
      </w:r>
      <w:hyperlink w:history="0" r:id="rId17" w:tooltip="Федеральный закон от 27.07.2010 N 210-ФЗ (ред. от 31.07.2025) &quot;Об организации предоставления государственных и муниципальных услуг&quot; {КонсультантПлюс}">
        <w:r>
          <w:rPr>
            <w:sz w:val="24"/>
            <w:color w:val="0000ff"/>
          </w:rPr>
          <w:t xml:space="preserve">закона</w:t>
        </w:r>
      </w:hyperlink>
      <w:r>
        <w:rPr>
          <w:sz w:val="24"/>
        </w:rPr>
        <w:t xml:space="preserve"> "Об организации предоставления государственных и муниципальных услуг".</w:t>
      </w:r>
    </w:p>
    <w:bookmarkStart w:id="64" w:name="P64"/>
    <w:bookmarkEnd w:id="64"/>
    <w:p>
      <w:pPr>
        <w:pStyle w:val="0"/>
        <w:spacing w:before="240" w:lineRule="auto"/>
        <w:ind w:firstLine="540"/>
        <w:jc w:val="both"/>
      </w:pPr>
      <w:r>
        <w:rPr>
          <w:sz w:val="24"/>
        </w:rPr>
        <w:t xml:space="preserve">13. К </w:t>
      </w:r>
      <w:hyperlink w:history="0" w:anchor="P126" w:tooltip="ЗАЯВЛЕНИЕ">
        <w:r>
          <w:rPr>
            <w:sz w:val="24"/>
            <w:color w:val="0000ff"/>
          </w:rPr>
          <w:t xml:space="preserve">заявлению</w:t>
        </w:r>
      </w:hyperlink>
      <w:r>
        <w:rPr>
          <w:sz w:val="24"/>
        </w:rPr>
        <w:t xml:space="preserve"> о предоставлении услуг прилагаются медицинские документы, подтверждающие наличие медицинских показаний и отсутствие медицинских противопоказаний для санаторно-курортного лечения и (или) медицинской реабилитации, а также необходимость сопровождения.</w:t>
      </w:r>
    </w:p>
    <w:p>
      <w:pPr>
        <w:pStyle w:val="0"/>
        <w:spacing w:before="240" w:lineRule="auto"/>
        <w:ind w:firstLine="540"/>
        <w:jc w:val="both"/>
      </w:pPr>
      <w:r>
        <w:rPr>
          <w:sz w:val="24"/>
        </w:rPr>
        <w:t xml:space="preserve">При отсутствии у участника специальной военной операции указанных медицинских документов территориальный орган Фонда в течение 3 рабочих дней запрашивает их у медицинской организации, которую участник специальной военной операции выбрал для получения первичной медико-санитарной помощи и в которой он состоит под диспансерным наблюдением. Сведения о такой медицинской организации направляются в территориальный орган Фонда участником специальной военной операции.</w:t>
      </w:r>
    </w:p>
    <w:p>
      <w:pPr>
        <w:pStyle w:val="0"/>
        <w:spacing w:before="240" w:lineRule="auto"/>
        <w:ind w:firstLine="540"/>
        <w:jc w:val="both"/>
      </w:pPr>
      <w:r>
        <w:rPr>
          <w:sz w:val="24"/>
        </w:rPr>
        <w:t xml:space="preserve">Указанная медицинская организация после получения запроса территориального органа Фонда при наличии письменного согласия участника специальной военной операции в соответствии с </w:t>
      </w:r>
      <w:hyperlink w:history="0" r:id="rId18" w:tooltip="Федеральный закон от 21.11.2011 N 323-ФЗ (ред. от 23.07.2025) &quot;Об основах охраны здоровья граждан в Российской Федерации&quot; (с изм. и доп., вступ. в силу с 01.09.2025) {КонсультантПлюс}">
        <w:r>
          <w:rPr>
            <w:sz w:val="24"/>
            <w:color w:val="0000ff"/>
          </w:rPr>
          <w:t xml:space="preserve">частью 3 статьи 13</w:t>
        </w:r>
      </w:hyperlink>
      <w:r>
        <w:rPr>
          <w:sz w:val="24"/>
        </w:rPr>
        <w:t xml:space="preserve"> Федерального закона "Об основах охраны здоровья граждан в Российской Федерации" на передачу таких медицинских документов в территориальный орган Фонда и данных анализа объективного состояния здоровья, предшествующего медицинского обследования и пройденного лечения (со сроком давности не более одного месяца до дня поступления запроса) направляет в территориальный орган Фонда соответствующие медицинские документы в срок, не превышающий 5 рабочих дней.</w:t>
      </w:r>
    </w:p>
    <w:bookmarkStart w:id="67" w:name="P67"/>
    <w:bookmarkEnd w:id="67"/>
    <w:p>
      <w:pPr>
        <w:pStyle w:val="0"/>
        <w:spacing w:before="240" w:lineRule="auto"/>
        <w:ind w:firstLine="540"/>
        <w:jc w:val="both"/>
      </w:pPr>
      <w:r>
        <w:rPr>
          <w:sz w:val="24"/>
        </w:rPr>
        <w:t xml:space="preserve">14. В случае выявления медицинской организацией, в которой участник специальной военной операции получает специализированную, в том числе высокотехнологичную, медицинскую помощь или в которой он состоит под диспансерным наблюдением, медицинских показаний для прохождения участником специальной военной операции санаторно-курортного лечения и (или) медицинской реабилитации и при отсутствии у него медицинских противопоказаний такая медицинская организация при наличии согласия участника специальной военной операции в соответствии с </w:t>
      </w:r>
      <w:hyperlink w:history="0" r:id="rId19" w:tooltip="Федеральный закон от 21.11.2011 N 323-ФЗ (ред. от 23.07.2025) &quot;Об основах охраны здоровья граждан в Российской Федерации&quot; (с изм. и доп., вступ. в силу с 01.09.2025) {КонсультантПлюс}">
        <w:r>
          <w:rPr>
            <w:sz w:val="24"/>
            <w:color w:val="0000ff"/>
          </w:rPr>
          <w:t xml:space="preserve">частью 3 статьи 13</w:t>
        </w:r>
      </w:hyperlink>
      <w:r>
        <w:rPr>
          <w:sz w:val="24"/>
        </w:rPr>
        <w:t xml:space="preserve"> Федерального закона "Об основах охраны здоровья граждан в Российской Федерации" на разглашение сведений, составляющих врачебную тайну, имеет право направить в близлежащий территориальный орган Фонда (в том числе с использованием электронных каналов связи) </w:t>
      </w:r>
      <w:hyperlink w:history="0" w:anchor="P126" w:tooltip="ЗАЯВЛЕНИЕ">
        <w:r>
          <w:rPr>
            <w:sz w:val="24"/>
            <w:color w:val="0000ff"/>
          </w:rPr>
          <w:t xml:space="preserve">заявление</w:t>
        </w:r>
      </w:hyperlink>
      <w:r>
        <w:rPr>
          <w:sz w:val="24"/>
        </w:rPr>
        <w:t xml:space="preserve"> о предоставлении услуг и прилагаемые к нему медицинские документы, подтверждающие наличие медицинских показаний и отсутствие медицинских противопоказаний для санаторно-курортного лечения и (или) медицинской реабилитации, а также необходимость сопровождения.</w:t>
      </w:r>
    </w:p>
    <w:p>
      <w:pPr>
        <w:pStyle w:val="0"/>
        <w:spacing w:before="240" w:lineRule="auto"/>
        <w:ind w:firstLine="540"/>
        <w:jc w:val="both"/>
      </w:pPr>
      <w:r>
        <w:rPr>
          <w:sz w:val="24"/>
        </w:rPr>
        <w:t xml:space="preserve">15. Территориальный орган Фонда в течение 2 рабочих дней со дня поступления </w:t>
      </w:r>
      <w:hyperlink w:history="0" w:anchor="P126" w:tooltip="ЗАЯВЛЕНИЕ">
        <w:r>
          <w:rPr>
            <w:sz w:val="24"/>
            <w:color w:val="0000ff"/>
          </w:rPr>
          <w:t xml:space="preserve">заявления</w:t>
        </w:r>
      </w:hyperlink>
      <w:r>
        <w:rPr>
          <w:sz w:val="24"/>
        </w:rPr>
        <w:t xml:space="preserve"> о предоставлении услуг и медицинских документов, подтверждающих наличие у участника специальной военной операции медицинских показаний и отсутствие медицинских противопоказаний для санаторно-курортного лечения или медицинской реабилитации, а также необходимость сопровождения, принимает решение о направлении участника специальной военной операции на санаторно-курортное лечение и (или) медицинскую реабилитацию в реабилитационный центр Фонда соответствующего профиля, имеющий необходимое оснащение медицинскими изделиями и медицинских работников в соответствии с законодательством Российской Федерации в сфере охраны здоровья, либо решение об отказе в направлении на санаторно-курортное лечение и (или) медицинскую реабилитацию.</w:t>
      </w:r>
    </w:p>
    <w:p>
      <w:pPr>
        <w:pStyle w:val="0"/>
        <w:spacing w:before="240" w:lineRule="auto"/>
        <w:ind w:firstLine="540"/>
        <w:jc w:val="both"/>
      </w:pPr>
      <w:r>
        <w:rPr>
          <w:sz w:val="24"/>
        </w:rPr>
        <w:t xml:space="preserve">16. Решение об отказе в направлении на санаторно-курортное лечение и (или) медицинскую реабилитацию принимается в следующих случаях:</w:t>
      </w:r>
    </w:p>
    <w:p>
      <w:pPr>
        <w:pStyle w:val="0"/>
        <w:spacing w:before="240" w:lineRule="auto"/>
        <w:ind w:firstLine="540"/>
        <w:jc w:val="both"/>
      </w:pPr>
      <w:r>
        <w:rPr>
          <w:sz w:val="24"/>
        </w:rPr>
        <w:t xml:space="preserve">а) если заявитель в соответствии со сведениями централизованного информационного учета и государственной информационной системы "Единая централизованная цифровая платформа в социальной сфере" не относится к лицам, имеющим право на санаторно-курортное лечение и (или) медицинскую реабилитацию в соответствии с настоящими Правилами;</w:t>
      </w:r>
    </w:p>
    <w:p>
      <w:pPr>
        <w:pStyle w:val="0"/>
        <w:spacing w:before="240" w:lineRule="auto"/>
        <w:ind w:firstLine="540"/>
        <w:jc w:val="both"/>
      </w:pPr>
      <w:r>
        <w:rPr>
          <w:sz w:val="24"/>
        </w:rPr>
        <w:t xml:space="preserve">б) при наличии в медицинской документации, указанной в </w:t>
      </w:r>
      <w:hyperlink w:history="0" w:anchor="P64" w:tooltip="13. К заявлению о предоставлении услуг прилагаются медицинские документы, подтверждающие наличие медицинских показаний и отсутствие медицинских противопоказаний для санаторно-курортного лечения и (или) медицинской реабилитации, а также необходимость сопровождения.">
        <w:r>
          <w:rPr>
            <w:sz w:val="24"/>
            <w:color w:val="0000ff"/>
          </w:rPr>
          <w:t xml:space="preserve">пункте 13</w:t>
        </w:r>
      </w:hyperlink>
      <w:r>
        <w:rPr>
          <w:sz w:val="24"/>
        </w:rPr>
        <w:t xml:space="preserve"> настоящих Правил, сведений об отсутствии медицинских показаний и (или) наличии медицинских противопоказаний для санаторно-курортного лечения и (или) медицинской реабилитации;</w:t>
      </w:r>
    </w:p>
    <w:p>
      <w:pPr>
        <w:pStyle w:val="0"/>
        <w:spacing w:before="240" w:lineRule="auto"/>
        <w:ind w:firstLine="540"/>
        <w:jc w:val="both"/>
      </w:pPr>
      <w:r>
        <w:rPr>
          <w:sz w:val="24"/>
        </w:rPr>
        <w:t xml:space="preserve">в) если предоставление услуг по санаторно-курортному лечению на основании </w:t>
      </w:r>
      <w:hyperlink w:history="0" w:anchor="P126" w:tooltip="ЗАЯВЛЕНИЕ">
        <w:r>
          <w:rPr>
            <w:sz w:val="24"/>
            <w:color w:val="0000ff"/>
          </w:rPr>
          <w:t xml:space="preserve">заявления</w:t>
        </w:r>
      </w:hyperlink>
      <w:r>
        <w:rPr>
          <w:sz w:val="24"/>
        </w:rPr>
        <w:t xml:space="preserve"> о предоставлении услуг повлечет нарушение периодичности, установленной </w:t>
      </w:r>
      <w:hyperlink w:history="0" w:anchor="P54" w:tooltip="7. Периодичность предоставления услуг по санаторно-курортному лечению составляет один раз в течение календарного года.">
        <w:r>
          <w:rPr>
            <w:sz w:val="24"/>
            <w:color w:val="0000ff"/>
          </w:rPr>
          <w:t xml:space="preserve">пунктом 7</w:t>
        </w:r>
      </w:hyperlink>
      <w:r>
        <w:rPr>
          <w:sz w:val="24"/>
        </w:rPr>
        <w:t xml:space="preserve"> настоящих Правил.</w:t>
      </w:r>
    </w:p>
    <w:p>
      <w:pPr>
        <w:pStyle w:val="0"/>
        <w:spacing w:before="240" w:lineRule="auto"/>
        <w:ind w:firstLine="540"/>
        <w:jc w:val="both"/>
      </w:pPr>
      <w:r>
        <w:rPr>
          <w:sz w:val="24"/>
        </w:rPr>
        <w:t xml:space="preserve">17. </w:t>
      </w:r>
      <w:hyperlink w:history="0" w:anchor="P126" w:tooltip="ЗАЯВЛЕНИЕ">
        <w:r>
          <w:rPr>
            <w:sz w:val="24"/>
            <w:color w:val="0000ff"/>
          </w:rPr>
          <w:t xml:space="preserve">Заявление</w:t>
        </w:r>
      </w:hyperlink>
      <w:r>
        <w:rPr>
          <w:sz w:val="24"/>
        </w:rPr>
        <w:t xml:space="preserve"> о предоставлении услуг может быть аннулировано по желанию участника специальной военной операции путем подачи им заявления об отзыве ранее поданного заявления о предоставлении услуг по форме согласно </w:t>
      </w:r>
      <w:hyperlink w:history="0" w:anchor="P238" w:tooltip="                                 ЗАЯВЛЕНИЕ">
        <w:r>
          <w:rPr>
            <w:sz w:val="24"/>
            <w:color w:val="0000ff"/>
          </w:rPr>
          <w:t xml:space="preserve">приложению N 2</w:t>
        </w:r>
      </w:hyperlink>
      <w:r>
        <w:rPr>
          <w:sz w:val="24"/>
        </w:rPr>
        <w:t xml:space="preserve"> способами, предусмотренными </w:t>
      </w:r>
      <w:hyperlink w:history="0" w:anchor="P60" w:tooltip="а) в форме электронного документа посредством федеральной государственной информационной системы &quot;Единый портал государственных и муниципальных услуг (функций)&quot; (далее - единый портал) (формирование заявления о предоставлении услуг осуществляется посредством заполнения интерактивной формы без необходимости дополнительной подачи заявления о предоставлении услуг в какой-либо иной форме);">
        <w:r>
          <w:rPr>
            <w:sz w:val="24"/>
            <w:color w:val="0000ff"/>
          </w:rPr>
          <w:t xml:space="preserve">подпунктами "а"</w:t>
        </w:r>
      </w:hyperlink>
      <w:r>
        <w:rPr>
          <w:sz w:val="24"/>
        </w:rPr>
        <w:t xml:space="preserve">, </w:t>
      </w:r>
      <w:hyperlink w:history="0" w:anchor="P61" w:tooltip="б) лично участником специальной военной операции в форме документа на бумажном носителе в территориальный орган Фонда по его выбору независимо от места его жительства или места пребывания;">
        <w:r>
          <w:rPr>
            <w:sz w:val="24"/>
            <w:color w:val="0000ff"/>
          </w:rPr>
          <w:t xml:space="preserve">"б"</w:t>
        </w:r>
      </w:hyperlink>
      <w:r>
        <w:rPr>
          <w:sz w:val="24"/>
        </w:rPr>
        <w:t xml:space="preserve"> и </w:t>
      </w:r>
      <w:hyperlink w:history="0" w:anchor="P63" w:tooltip="г) через многофункциональный центр предоставления государственных и муниципальных услуг при наличии заключенного соглашения о взаимодействии между территориальным органом Фонда и указанным многофункциональным центром, уполномоченным на заключение такого соглашения на основании Федерального закона &quot;Об организации предоставления государственных и муниципальных услуг&quot;.">
        <w:r>
          <w:rPr>
            <w:sz w:val="24"/>
            <w:color w:val="0000ff"/>
          </w:rPr>
          <w:t xml:space="preserve">"г" пункта 12</w:t>
        </w:r>
      </w:hyperlink>
      <w:r>
        <w:rPr>
          <w:sz w:val="24"/>
        </w:rPr>
        <w:t xml:space="preserve"> настоящих Правил.</w:t>
      </w:r>
    </w:p>
    <w:p>
      <w:pPr>
        <w:pStyle w:val="0"/>
        <w:spacing w:before="240" w:lineRule="auto"/>
        <w:ind w:firstLine="540"/>
        <w:jc w:val="both"/>
      </w:pPr>
      <w:r>
        <w:rPr>
          <w:sz w:val="24"/>
        </w:rPr>
        <w:t xml:space="preserve">Заявление об отзыве ранее поданного заявления о предоставлении услуг может быть подано до поступления участника специальной военной операции на санаторно-курортное лечение и (или) медицинскую реабилитацию.</w:t>
      </w:r>
    </w:p>
    <w:p>
      <w:pPr>
        <w:pStyle w:val="0"/>
        <w:spacing w:before="240" w:lineRule="auto"/>
        <w:ind w:firstLine="540"/>
        <w:jc w:val="both"/>
      </w:pPr>
      <w:r>
        <w:rPr>
          <w:sz w:val="24"/>
        </w:rPr>
        <w:t xml:space="preserve">18. Территориальный орган Фонда в течение 2 рабочих дней со дня поступления заявления об отзыве ранее поданного заявления о предоставлении услуг принимает решение об аннулировании ранее поданного </w:t>
      </w:r>
      <w:hyperlink w:history="0" w:anchor="P126" w:tooltip="ЗАЯВЛЕНИЕ">
        <w:r>
          <w:rPr>
            <w:sz w:val="24"/>
            <w:color w:val="0000ff"/>
          </w:rPr>
          <w:t xml:space="preserve">заявления</w:t>
        </w:r>
      </w:hyperlink>
      <w:r>
        <w:rPr>
          <w:sz w:val="24"/>
        </w:rPr>
        <w:t xml:space="preserve"> о предоставлении услуг.</w:t>
      </w:r>
    </w:p>
    <w:p>
      <w:pPr>
        <w:pStyle w:val="0"/>
        <w:spacing w:before="240" w:lineRule="auto"/>
        <w:ind w:firstLine="540"/>
        <w:jc w:val="both"/>
      </w:pPr>
      <w:r>
        <w:rPr>
          <w:sz w:val="24"/>
        </w:rPr>
        <w:t xml:space="preserve">19. Информирование участника специальной военной операции о принятом решении осуществляется не позднее рабочего дня, следующего за днем принятия соответствующего решения, при подаче </w:t>
      </w:r>
      <w:hyperlink w:history="0" w:anchor="P126" w:tooltip="ЗАЯВЛЕНИЕ">
        <w:r>
          <w:rPr>
            <w:sz w:val="24"/>
            <w:color w:val="0000ff"/>
          </w:rPr>
          <w:t xml:space="preserve">заявления</w:t>
        </w:r>
      </w:hyperlink>
      <w:r>
        <w:rPr>
          <w:sz w:val="24"/>
        </w:rPr>
        <w:t xml:space="preserve"> о предоставлении услуг в форме электронного документа посредством единого портала - в личном кабинете на едином портале, при подаче </w:t>
      </w:r>
      <w:hyperlink w:history="0" w:anchor="P126" w:tooltip="ЗАЯВЛЕНИЕ">
        <w:r>
          <w:rPr>
            <w:sz w:val="24"/>
            <w:color w:val="0000ff"/>
          </w:rPr>
          <w:t xml:space="preserve">заявления</w:t>
        </w:r>
      </w:hyperlink>
      <w:r>
        <w:rPr>
          <w:sz w:val="24"/>
        </w:rPr>
        <w:t xml:space="preserve"> о предоставлении услуг в форме документа на бумажном носителе - на адрес электронной почты или иным способом, указанным в соответствующем заявлении.</w:t>
      </w:r>
    </w:p>
    <w:bookmarkStart w:id="77" w:name="P77"/>
    <w:bookmarkEnd w:id="77"/>
    <w:p>
      <w:pPr>
        <w:pStyle w:val="0"/>
        <w:spacing w:before="240" w:lineRule="auto"/>
        <w:ind w:firstLine="540"/>
        <w:jc w:val="both"/>
      </w:pPr>
      <w:r>
        <w:rPr>
          <w:sz w:val="24"/>
        </w:rPr>
        <w:t xml:space="preserve">20. При поступлении участника специальной военной операции в реабилитационный центр Фонда для санаторно-курортного лечения или медицинской реабилитации лечащий врач реабилитационного центра Фонда в течение одного дня со дня прибытия участника специальной военной операции осуществляет осмотр пациента, знакомится с его медицинской документацией, оценивает его реабилитационный потенциал (функциональные резервы организма) и определяет индивидуальный план медицинской реабилитации или индивидуальную программу санаторно-курортного лечения в порядке, установленном законодательством Российской Федерации в сфере охраны здоровья.</w:t>
      </w:r>
    </w:p>
    <w:p>
      <w:pPr>
        <w:pStyle w:val="0"/>
        <w:spacing w:before="240" w:lineRule="auto"/>
        <w:ind w:firstLine="540"/>
        <w:jc w:val="both"/>
      </w:pPr>
      <w:r>
        <w:rPr>
          <w:sz w:val="24"/>
        </w:rPr>
        <w:t xml:space="preserve">21. В случае если лечащим врачом при осмотре участника специальной военной операции, проводимом в соответствии с </w:t>
      </w:r>
      <w:hyperlink w:history="0" w:anchor="P77" w:tooltip="20. При поступлении участника специальной военной операции в реабилитационный центр Фонда для санаторно-курортного лечения или медицинской реабилитации лечащий врач реабилитационного центра Фонда в течение одного дня со дня прибытия участника специальной военной операции осуществляет осмотр пациента, знакомится с его медицинской документацией, оценивает его реабилитационный потенциал (функциональные резервы организма) и определяет индивидуальный план медицинской реабилитации или индивидуальную программу ...">
        <w:r>
          <w:rPr>
            <w:sz w:val="24"/>
            <w:color w:val="0000ff"/>
          </w:rPr>
          <w:t xml:space="preserve">пунктом 20</w:t>
        </w:r>
      </w:hyperlink>
      <w:r>
        <w:rPr>
          <w:sz w:val="24"/>
        </w:rPr>
        <w:t xml:space="preserve"> настоящих Правил, определена необходимость изменения вида услуги (с медицинской реабилитации на санаторно-курортное лечение или с санаторно-курортного лечения на медицинскую реабилитацию), изменение вида услуги осуществляется на основании решения врачебной комиссии реабилитационного центра Фонда, принятого в соответствии с порядком создания и деятельности врачебной комиссии медицинской организации, утверждаемым Министерством здравоохранения Российской Федерации.</w:t>
      </w:r>
    </w:p>
    <w:p>
      <w:pPr>
        <w:pStyle w:val="0"/>
        <w:spacing w:before="240" w:lineRule="auto"/>
        <w:ind w:firstLine="540"/>
        <w:jc w:val="both"/>
      </w:pPr>
      <w:r>
        <w:rPr>
          <w:sz w:val="24"/>
        </w:rPr>
        <w:t xml:space="preserve">22. В случае если в ходе нахождения в реабилитационном центре Фонда у участника специальной военной операции выявляется заболевание (состояние), требующее оказания ему медицинской помощи в экстренной или неотложной форме, руководитель реабилитационного центра Фонда организует оказание ему такой медицинской помощи с привлечением медицинских работников иных профильных медицинских организаций, а в случае необходимости - незамедлительный перевод участника специальной военной операции в близлежащую медицинскую организацию соответствующего профиля, участвующую в территориальной программе обязательного медицинского страхования.</w:t>
      </w:r>
    </w:p>
    <w:p>
      <w:pPr>
        <w:pStyle w:val="0"/>
        <w:spacing w:before="240" w:lineRule="auto"/>
        <w:ind w:firstLine="540"/>
        <w:jc w:val="both"/>
      </w:pPr>
      <w:r>
        <w:rPr>
          <w:sz w:val="24"/>
        </w:rPr>
        <w:t xml:space="preserve">23. При выявлении в ходе санаторно-курортного лечения и (или) медицинской реабилитации у участника специальной военной операции медицинских противопоказаний для санаторно-курортного лечения и (или) медицинской реабилитации руководитель реабилитационного центра Фонда информирует об этом участника специальной военной операции и при его согласии организует его перевод в иную медицинскую организацию для оказания ему медицинской помощи соответствующего профиля.</w:t>
      </w:r>
    </w:p>
    <w:p>
      <w:pPr>
        <w:pStyle w:val="0"/>
        <w:spacing w:before="240" w:lineRule="auto"/>
        <w:ind w:firstLine="540"/>
        <w:jc w:val="both"/>
      </w:pPr>
      <w:r>
        <w:rPr>
          <w:sz w:val="24"/>
        </w:rPr>
        <w:t xml:space="preserve">24. Оплата услуг по медицинской реабилитации осуществляется по тарифам на оплату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 устанавливаемыми в составе программы государственных гарантий бесплатного оказания гражданам медицинской помощи на очередной финансовый год и плановый период.</w:t>
      </w:r>
    </w:p>
    <w:p>
      <w:pPr>
        <w:pStyle w:val="0"/>
        <w:spacing w:before="240" w:lineRule="auto"/>
        <w:ind w:firstLine="540"/>
        <w:jc w:val="both"/>
      </w:pPr>
      <w:r>
        <w:rPr>
          <w:sz w:val="24"/>
        </w:rPr>
        <w:t xml:space="preserve">При этом при установлении Фондом нормативных затрат на оказание государственной услуги по медицинской реабилитации учитываются коэффициенты относительной затратоемкости оказания медицинской помощи по медицинской реабилитации, установленные в программе государственных гарантий бесплатного оказания гражданам медицинской помощи на очередной финансовый год и плановый период.</w:t>
      </w:r>
    </w:p>
    <w:p>
      <w:pPr>
        <w:pStyle w:val="0"/>
        <w:spacing w:before="240" w:lineRule="auto"/>
        <w:ind w:firstLine="540"/>
        <w:jc w:val="both"/>
      </w:pPr>
      <w:r>
        <w:rPr>
          <w:sz w:val="24"/>
        </w:rPr>
        <w:t xml:space="preserve">25. Оплата услуг по санаторно-курортному лечению осуществляется на основании нормативных затрат на оказание государственной услуги, рассчитанных на единицу показателя объема оказания услуги, установленного в государственном задании, на основе базового норматива затрат и корректирующих коэффициентов к базовым нормативам затрат, рассчитываемых в установленном законодательством Российской Федерации порядке.</w:t>
      </w:r>
    </w:p>
    <w:p>
      <w:pPr>
        <w:pStyle w:val="0"/>
        <w:spacing w:before="240" w:lineRule="auto"/>
        <w:ind w:firstLine="540"/>
        <w:jc w:val="both"/>
      </w:pPr>
      <w:r>
        <w:rPr>
          <w:sz w:val="24"/>
        </w:rPr>
        <w:t xml:space="preserve">26. Оплата услуг по санаторно-курортному лечению и медицинской реабилитации осуществляется в объеме, не превышающем размера бюджетных ассигнований, выделенных на эти цели в бюджете Фонда.</w:t>
      </w:r>
    </w:p>
    <w:p>
      <w:pPr>
        <w:pStyle w:val="0"/>
        <w:spacing w:before="240" w:lineRule="auto"/>
        <w:ind w:firstLine="540"/>
        <w:jc w:val="both"/>
      </w:pPr>
      <w:r>
        <w:rPr>
          <w:sz w:val="24"/>
        </w:rPr>
        <w:t xml:space="preserve">27. Оплата транспортных расходов участника специальной военной операции и сопровождающего лица осуществляется путем:</w:t>
      </w:r>
    </w:p>
    <w:p>
      <w:pPr>
        <w:pStyle w:val="0"/>
        <w:spacing w:before="240" w:lineRule="auto"/>
        <w:ind w:firstLine="540"/>
        <w:jc w:val="both"/>
      </w:pPr>
      <w:r>
        <w:rPr>
          <w:sz w:val="24"/>
        </w:rPr>
        <w:t xml:space="preserve">а) оплаты транспортным организациям транспортных расходов участников специальной военной операции и сопровождающих лиц следующими видами междугородного транспорта:</w:t>
      </w:r>
    </w:p>
    <w:p>
      <w:pPr>
        <w:pStyle w:val="0"/>
        <w:spacing w:before="240" w:lineRule="auto"/>
        <w:ind w:firstLine="540"/>
        <w:jc w:val="both"/>
      </w:pPr>
      <w:r>
        <w:rPr>
          <w:sz w:val="24"/>
        </w:rPr>
        <w:t xml:space="preserve">железнодорожным транспортом общего пользования - в поездах дальнего следования всех типов, в том числе в фирменных поездах, вагонах всех категорий, за исключением спальных вагонов с двухместными купе и вагонов повышенной комфортности, и поездах пригородного сообщения;</w:t>
      </w:r>
    </w:p>
    <w:p>
      <w:pPr>
        <w:pStyle w:val="0"/>
        <w:spacing w:before="240" w:lineRule="auto"/>
        <w:ind w:firstLine="540"/>
        <w:jc w:val="both"/>
      </w:pPr>
      <w:r>
        <w:rPr>
          <w:sz w:val="24"/>
        </w:rPr>
        <w:t xml:space="preserve">морским транспортом - на местах IV и V категорий кают судов транспортных линий (при наличии на судне), а при отсутствии спальных мест - на сидячих местах;</w:t>
      </w:r>
    </w:p>
    <w:p>
      <w:pPr>
        <w:pStyle w:val="0"/>
        <w:spacing w:before="240" w:lineRule="auto"/>
        <w:ind w:firstLine="540"/>
        <w:jc w:val="both"/>
      </w:pPr>
      <w:r>
        <w:rPr>
          <w:sz w:val="24"/>
        </w:rPr>
        <w:t xml:space="preserve">внутренним водным транспортом - на местах III категории кают судов транспортных маршрутов (при наличии на судне), а при отсутствии спальных мест - на сидячих местах;</w:t>
      </w:r>
    </w:p>
    <w:p>
      <w:pPr>
        <w:pStyle w:val="0"/>
        <w:spacing w:before="240" w:lineRule="auto"/>
        <w:ind w:firstLine="540"/>
        <w:jc w:val="both"/>
      </w:pPr>
      <w:r>
        <w:rPr>
          <w:sz w:val="24"/>
        </w:rPr>
        <w:t xml:space="preserve">автомобильным транспортом общего пользования (кроме такси);</w:t>
      </w:r>
    </w:p>
    <w:p>
      <w:pPr>
        <w:pStyle w:val="0"/>
        <w:spacing w:before="240" w:lineRule="auto"/>
        <w:ind w:firstLine="540"/>
        <w:jc w:val="both"/>
      </w:pPr>
      <w:r>
        <w:rPr>
          <w:sz w:val="24"/>
        </w:rPr>
        <w:t xml:space="preserve">воздушным транспортом - в салоне экономического класса;</w:t>
      </w:r>
    </w:p>
    <w:p>
      <w:pPr>
        <w:pStyle w:val="0"/>
        <w:spacing w:before="240" w:lineRule="auto"/>
        <w:ind w:firstLine="540"/>
        <w:jc w:val="both"/>
      </w:pPr>
      <w:r>
        <w:rPr>
          <w:sz w:val="24"/>
        </w:rPr>
        <w:t xml:space="preserve">б) возмещения участнику специальной военной операции и сопровождающему лицу фактически понесенных расходов (далее - компенсация расходов на проезд), подтвержденных проездными документами, но не выше стоимости проезда на транспорте междугородного сообщения, а в случае отклонения от пути следования - по кратчайшему или беспересадочному маршруту (включая оплату услуг по продаже проездных документов, расходы за пользование в поездах и на судах морского и внутреннего водного транспорта постельными принадлежностями, расходы на провоз багажа в случае, если указанные расходы не включены в стоимость проездного документа):</w:t>
      </w:r>
    </w:p>
    <w:p>
      <w:pPr>
        <w:pStyle w:val="0"/>
        <w:spacing w:before="240" w:lineRule="auto"/>
        <w:ind w:firstLine="540"/>
        <w:jc w:val="both"/>
      </w:pPr>
      <w:r>
        <w:rPr>
          <w:sz w:val="24"/>
        </w:rPr>
        <w:t xml:space="preserve">на железнодорожном транспорте общего пользования - в поездах дальнего следования всех типов, в том числе в фирменных поездах, вагонах всех категорий, за исключением спальных вагонов с двухместными купе и вагонов повышенной комфортности, и поездах пригородного сообщения;</w:t>
      </w:r>
    </w:p>
    <w:p>
      <w:pPr>
        <w:pStyle w:val="0"/>
        <w:spacing w:before="240" w:lineRule="auto"/>
        <w:ind w:firstLine="540"/>
        <w:jc w:val="both"/>
      </w:pPr>
      <w:r>
        <w:rPr>
          <w:sz w:val="24"/>
        </w:rPr>
        <w:t xml:space="preserve">на морском транспорте - на местах IV и V категорий кают судов транспортных линий (при наличии на судне), а при отсутствии спальных мест - на сидячих местах;</w:t>
      </w:r>
    </w:p>
    <w:p>
      <w:pPr>
        <w:pStyle w:val="0"/>
        <w:spacing w:before="240" w:lineRule="auto"/>
        <w:ind w:firstLine="540"/>
        <w:jc w:val="both"/>
      </w:pPr>
      <w:r>
        <w:rPr>
          <w:sz w:val="24"/>
        </w:rPr>
        <w:t xml:space="preserve">на внутреннем водном транспорте - на местах III категории кают судов транспортных маршрутов (при наличии на судне), а при отсутствии спальных мест - на сидячих местах;</w:t>
      </w:r>
    </w:p>
    <w:p>
      <w:pPr>
        <w:pStyle w:val="0"/>
        <w:spacing w:before="240" w:lineRule="auto"/>
        <w:ind w:firstLine="540"/>
        <w:jc w:val="both"/>
      </w:pPr>
      <w:r>
        <w:rPr>
          <w:sz w:val="24"/>
        </w:rPr>
        <w:t xml:space="preserve">на автомобильном транспорте общего пользования (кроме такси);</w:t>
      </w:r>
    </w:p>
    <w:p>
      <w:pPr>
        <w:pStyle w:val="0"/>
        <w:spacing w:before="240" w:lineRule="auto"/>
        <w:ind w:firstLine="540"/>
        <w:jc w:val="both"/>
      </w:pPr>
      <w:r>
        <w:rPr>
          <w:sz w:val="24"/>
        </w:rPr>
        <w:t xml:space="preserve">на воздушном транспорте - в салоне экономического класса.</w:t>
      </w:r>
    </w:p>
    <w:p>
      <w:pPr>
        <w:pStyle w:val="0"/>
        <w:spacing w:before="240" w:lineRule="auto"/>
        <w:ind w:firstLine="540"/>
        <w:jc w:val="both"/>
      </w:pPr>
      <w:r>
        <w:rPr>
          <w:sz w:val="24"/>
        </w:rPr>
        <w:t xml:space="preserve">28. Компенсация расходов на проезд осуществляется на основании заявления о компенсации расходов на проезд к месту прохождения санаторно-курортного лечения и (или) медицинской реабилитации и обратно по форме согласно </w:t>
      </w:r>
      <w:hyperlink w:history="0" w:anchor="P301" w:tooltip="ЗАЯВЛЕНИЕ">
        <w:r>
          <w:rPr>
            <w:sz w:val="24"/>
            <w:color w:val="0000ff"/>
          </w:rPr>
          <w:t xml:space="preserve">приложению N 3</w:t>
        </w:r>
      </w:hyperlink>
      <w:r>
        <w:rPr>
          <w:sz w:val="24"/>
        </w:rPr>
        <w:t xml:space="preserve"> (далее - заявление о компенсации расходов).</w:t>
      </w:r>
    </w:p>
    <w:p>
      <w:pPr>
        <w:pStyle w:val="0"/>
        <w:spacing w:before="240" w:lineRule="auto"/>
        <w:ind w:firstLine="540"/>
        <w:jc w:val="both"/>
      </w:pPr>
      <w:r>
        <w:rPr>
          <w:sz w:val="24"/>
        </w:rPr>
        <w:t xml:space="preserve">29. В случае проезда участника специальной военной операции и сопровождающего лица к месту прохождения санаторно-курортного лечения и (или) медицинской реабилитации и обратно на автомобильном транспорте личного пользования компенсация расходов на проезд осуществляется на основании </w:t>
      </w:r>
      <w:hyperlink w:history="0" w:anchor="P301" w:tooltip="ЗАЯВЛЕНИЕ">
        <w:r>
          <w:rPr>
            <w:sz w:val="24"/>
            <w:color w:val="0000ff"/>
          </w:rPr>
          <w:t xml:space="preserve">заявления</w:t>
        </w:r>
      </w:hyperlink>
      <w:r>
        <w:rPr>
          <w:sz w:val="24"/>
        </w:rPr>
        <w:t xml:space="preserve"> о компенсации расходов и документов, подтверждающих произведенные расходы на горючесмазочные материалы, электроэнергию, но не выше стоимости, рассчитанной на основе базовых норм расхода топлива для автомобилей общего назначения, установленных Министерством транспорта Российской Федерации для соответствующих транспортных средств, данных производителей соответствующих автотранспортных средств (их официальных представительств) и протяженности кратчайшего маршрута следования по автомобильным дорогам общего пользования, на которых не предусматривается взимание платы за проезд, к месту прохождения санаторно-курортного лечения и (или) медицинской реабилитации и обратно.</w:t>
      </w:r>
    </w:p>
    <w:p>
      <w:pPr>
        <w:pStyle w:val="0"/>
        <w:spacing w:before="240" w:lineRule="auto"/>
        <w:ind w:firstLine="540"/>
        <w:jc w:val="both"/>
      </w:pPr>
      <w:r>
        <w:rPr>
          <w:sz w:val="24"/>
        </w:rPr>
        <w:t xml:space="preserve">30. </w:t>
      </w:r>
      <w:hyperlink w:history="0" w:anchor="P301" w:tooltip="ЗАЯВЛЕНИЕ">
        <w:r>
          <w:rPr>
            <w:sz w:val="24"/>
            <w:color w:val="0000ff"/>
          </w:rPr>
          <w:t xml:space="preserve">Заявление</w:t>
        </w:r>
      </w:hyperlink>
      <w:r>
        <w:rPr>
          <w:sz w:val="24"/>
        </w:rPr>
        <w:t xml:space="preserve"> о компенсации расходов может быть подано одним из следующих способов:</w:t>
      </w:r>
    </w:p>
    <w:p>
      <w:pPr>
        <w:pStyle w:val="0"/>
        <w:spacing w:before="240" w:lineRule="auto"/>
        <w:ind w:firstLine="540"/>
        <w:jc w:val="both"/>
      </w:pPr>
      <w:r>
        <w:rPr>
          <w:sz w:val="24"/>
        </w:rPr>
        <w:t xml:space="preserve">а) в форме электронного документа посредством единого портала (формирование </w:t>
      </w:r>
      <w:hyperlink w:history="0" w:anchor="P301" w:tooltip="ЗАЯВЛЕНИЕ">
        <w:r>
          <w:rPr>
            <w:sz w:val="24"/>
            <w:color w:val="0000ff"/>
          </w:rPr>
          <w:t xml:space="preserve">заявления</w:t>
        </w:r>
      </w:hyperlink>
      <w:r>
        <w:rPr>
          <w:sz w:val="24"/>
        </w:rPr>
        <w:t xml:space="preserve"> о компенсации расходов осуществляется посредством заполнения интерактивной формы без необходимости дополнительной подачи </w:t>
      </w:r>
      <w:hyperlink w:history="0" w:anchor="P301" w:tooltip="ЗАЯВЛЕНИЕ">
        <w:r>
          <w:rPr>
            <w:sz w:val="24"/>
            <w:color w:val="0000ff"/>
          </w:rPr>
          <w:t xml:space="preserve">заявления</w:t>
        </w:r>
      </w:hyperlink>
      <w:r>
        <w:rPr>
          <w:sz w:val="24"/>
        </w:rPr>
        <w:t xml:space="preserve"> о компенсации расходов в какой-либо иной форме);</w:t>
      </w:r>
    </w:p>
    <w:p>
      <w:pPr>
        <w:pStyle w:val="0"/>
        <w:spacing w:before="240" w:lineRule="auto"/>
        <w:ind w:firstLine="540"/>
        <w:jc w:val="both"/>
      </w:pPr>
      <w:r>
        <w:rPr>
          <w:sz w:val="24"/>
        </w:rPr>
        <w:t xml:space="preserve">б) лично участником специальной военной операции в форме документа на бумажном носителе в территориальный орган Фонда по его выбору независимо от места его жительства или места пребывания.</w:t>
      </w:r>
    </w:p>
    <w:p>
      <w:pPr>
        <w:pStyle w:val="0"/>
        <w:spacing w:before="240" w:lineRule="auto"/>
        <w:ind w:firstLine="540"/>
        <w:jc w:val="both"/>
      </w:pPr>
      <w:r>
        <w:rPr>
          <w:sz w:val="24"/>
        </w:rPr>
        <w:t xml:space="preserve">31. Порядок оплаты транспортных расходов участников специальной военной операции и сопровождающих лиц утверждается Фондом.</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Правилам предоставления и оплаты</w:t>
      </w:r>
    </w:p>
    <w:p>
      <w:pPr>
        <w:pStyle w:val="0"/>
        <w:jc w:val="right"/>
      </w:pPr>
      <w:r>
        <w:rPr>
          <w:sz w:val="24"/>
        </w:rPr>
        <w:t xml:space="preserve">услуг по санаторно-курортному</w:t>
      </w:r>
    </w:p>
    <w:p>
      <w:pPr>
        <w:pStyle w:val="0"/>
        <w:jc w:val="right"/>
      </w:pPr>
      <w:r>
        <w:rPr>
          <w:sz w:val="24"/>
        </w:rPr>
        <w:t xml:space="preserve">лечению и медицинской реабилитации</w:t>
      </w:r>
    </w:p>
    <w:p>
      <w:pPr>
        <w:pStyle w:val="0"/>
        <w:jc w:val="right"/>
      </w:pPr>
      <w:r>
        <w:rPr>
          <w:sz w:val="24"/>
        </w:rPr>
        <w:t xml:space="preserve">лиц, указанных в части 11 статьи 7</w:t>
      </w:r>
    </w:p>
    <w:p>
      <w:pPr>
        <w:pStyle w:val="0"/>
        <w:jc w:val="right"/>
      </w:pPr>
      <w:r>
        <w:rPr>
          <w:sz w:val="24"/>
        </w:rPr>
        <w:t xml:space="preserve">Федерального закона</w:t>
      </w:r>
    </w:p>
    <w:p>
      <w:pPr>
        <w:pStyle w:val="0"/>
        <w:jc w:val="right"/>
      </w:pPr>
      <w:r>
        <w:rPr>
          <w:sz w:val="24"/>
        </w:rPr>
        <w:t xml:space="preserve">"О бюджете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 на 2026 год</w:t>
      </w:r>
    </w:p>
    <w:p>
      <w:pPr>
        <w:pStyle w:val="0"/>
        <w:jc w:val="right"/>
      </w:pPr>
      <w:r>
        <w:rPr>
          <w:sz w:val="24"/>
        </w:rPr>
        <w:t xml:space="preserve">и на плановый период 2027</w:t>
      </w:r>
    </w:p>
    <w:p>
      <w:pPr>
        <w:pStyle w:val="0"/>
        <w:jc w:val="right"/>
      </w:pPr>
      <w:r>
        <w:rPr>
          <w:sz w:val="24"/>
        </w:rPr>
        <w:t xml:space="preserve">и 2028 годов", в реабилитационных</w:t>
      </w:r>
    </w:p>
    <w:p>
      <w:pPr>
        <w:pStyle w:val="0"/>
        <w:jc w:val="right"/>
      </w:pPr>
      <w:r>
        <w:rPr>
          <w:sz w:val="24"/>
        </w:rPr>
        <w:t xml:space="preserve">центрах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w:t>
      </w:r>
    </w:p>
    <w:p>
      <w:pPr>
        <w:pStyle w:val="0"/>
        <w:jc w:val="both"/>
      </w:pPr>
      <w:r>
        <w:rPr>
          <w:sz w:val="24"/>
        </w:rPr>
      </w:r>
    </w:p>
    <w:p>
      <w:pPr>
        <w:pStyle w:val="0"/>
        <w:jc w:val="right"/>
      </w:pPr>
      <w:r>
        <w:rPr>
          <w:sz w:val="24"/>
        </w:rPr>
        <w:t xml:space="preserve">(форма)</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126" w:name="P126"/>
          <w:bookmarkEnd w:id="126"/>
          <w:p>
            <w:pPr>
              <w:pStyle w:val="0"/>
              <w:jc w:val="center"/>
            </w:pPr>
            <w:r>
              <w:rPr>
                <w:sz w:val="24"/>
              </w:rPr>
              <w:t xml:space="preserve">ЗАЯВЛЕНИЕ</w:t>
            </w:r>
          </w:p>
          <w:p>
            <w:pPr>
              <w:pStyle w:val="0"/>
              <w:jc w:val="center"/>
            </w:pPr>
            <w:r>
              <w:rPr>
                <w:sz w:val="24"/>
              </w:rPr>
              <w:t xml:space="preserve">о предоставлении услуг по санаторно-курортному лечению и (или) медицинской реабилитации в реабилитационном центре Фонда пенсионного и социального страхования Российской Федерации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40"/>
        <w:gridCol w:w="8731"/>
      </w:tblGrid>
      <w:tr>
        <w:tc>
          <w:tcPr>
            <w:tcW w:w="340" w:type="dxa"/>
            <w:vAlign w:val="bottom"/>
            <w:tcBorders>
              <w:top w:val="nil"/>
              <w:left w:val="nil"/>
              <w:bottom w:val="nil"/>
              <w:right w:val="nil"/>
            </w:tcBorders>
          </w:tcPr>
          <w:p>
            <w:pPr>
              <w:pStyle w:val="0"/>
            </w:pPr>
            <w:r>
              <w:rPr>
                <w:sz w:val="24"/>
              </w:rPr>
              <w:t xml:space="preserve">В</w:t>
            </w:r>
          </w:p>
        </w:tc>
        <w:tc>
          <w:tcPr>
            <w:tcW w:w="8731" w:type="dxa"/>
            <w:vAlign w:val="bottom"/>
            <w:tcBorders>
              <w:top w:val="nil"/>
              <w:left w:val="nil"/>
              <w:bottom w:val="single" w:sz="4"/>
              <w:right w:val="nil"/>
            </w:tcBorders>
          </w:tcPr>
          <w:p>
            <w:pPr>
              <w:pStyle w:val="0"/>
            </w:pPr>
            <w:r>
              <w:rPr>
                <w:sz w:val="24"/>
              </w:rPr>
            </w:r>
          </w:p>
        </w:tc>
      </w:tr>
      <w:tr>
        <w:tc>
          <w:tcPr>
            <w:tcW w:w="340" w:type="dxa"/>
            <w:tcBorders>
              <w:top w:val="nil"/>
              <w:left w:val="nil"/>
              <w:bottom w:val="nil"/>
              <w:right w:val="nil"/>
            </w:tcBorders>
          </w:tcPr>
          <w:p>
            <w:pPr>
              <w:pStyle w:val="0"/>
            </w:pPr>
            <w:r>
              <w:rPr>
                <w:sz w:val="24"/>
              </w:rPr>
            </w:r>
          </w:p>
        </w:tc>
        <w:tc>
          <w:tcPr>
            <w:tcW w:w="8731" w:type="dxa"/>
            <w:tcBorders>
              <w:top w:val="single" w:sz="4"/>
              <w:left w:val="nil"/>
              <w:bottom w:val="nil"/>
              <w:right w:val="nil"/>
            </w:tcBorders>
          </w:tcPr>
          <w:p>
            <w:pPr>
              <w:pStyle w:val="0"/>
              <w:jc w:val="center"/>
            </w:pPr>
            <w:r>
              <w:rPr>
                <w:sz w:val="24"/>
              </w:rPr>
              <w:t xml:space="preserve">(наименование территориального органа Фонда пенсионного и социального страхования Российской Федерации)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center"/>
            <w:tcBorders>
              <w:top w:val="nil"/>
              <w:left w:val="nil"/>
              <w:bottom w:val="nil"/>
              <w:right w:val="nil"/>
            </w:tcBorders>
          </w:tcPr>
          <w:p>
            <w:pPr>
              <w:pStyle w:val="0"/>
              <w:jc w:val="center"/>
            </w:pPr>
            <w:r>
              <w:rPr>
                <w:sz w:val="24"/>
              </w:rPr>
              <w:t xml:space="preserve">Сведения о заявителе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814"/>
        <w:gridCol w:w="271"/>
        <w:gridCol w:w="1142"/>
        <w:gridCol w:w="543"/>
        <w:gridCol w:w="693"/>
        <w:gridCol w:w="1009"/>
        <w:gridCol w:w="269"/>
        <w:gridCol w:w="2131"/>
        <w:gridCol w:w="2199"/>
      </w:tblGrid>
      <w:tr>
        <w:tblPrEx>
          <w:tblBorders>
            <w:insideH w:val="single" w:sz="4"/>
          </w:tblBorders>
        </w:tblPrEx>
        <w:tc>
          <w:tcPr>
            <w:gridSpan w:val="9"/>
            <w:tcW w:w="9071" w:type="dxa"/>
            <w:tcBorders>
              <w:top w:val="nil"/>
              <w:left w:val="nil"/>
              <w:bottom w:val="single" w:sz="4"/>
              <w:right w:val="nil"/>
            </w:tcBorders>
          </w:tcPr>
          <w:p>
            <w:pPr>
              <w:pStyle w:val="0"/>
            </w:pPr>
            <w:r>
              <w:rPr>
                <w:sz w:val="24"/>
              </w:rPr>
            </w:r>
          </w:p>
        </w:tc>
      </w:tr>
      <w:tr>
        <w:tc>
          <w:tcPr>
            <w:gridSpan w:val="9"/>
            <w:tcW w:w="9071" w:type="dxa"/>
            <w:tcBorders>
              <w:top w:val="single" w:sz="4"/>
              <w:left w:val="nil"/>
              <w:bottom w:val="nil"/>
              <w:right w:val="nil"/>
            </w:tcBorders>
          </w:tcPr>
          <w:p>
            <w:pPr>
              <w:pStyle w:val="0"/>
              <w:jc w:val="center"/>
            </w:pPr>
            <w:r>
              <w:rPr>
                <w:sz w:val="24"/>
              </w:rPr>
              <w:t xml:space="preserve">(фамилия, имя, отчество (при наличии)</w:t>
            </w:r>
          </w:p>
        </w:tc>
      </w:tr>
      <w:tr>
        <w:tc>
          <w:tcPr>
            <w:gridSpan w:val="3"/>
            <w:tcW w:w="2227" w:type="dxa"/>
            <w:vAlign w:val="bottom"/>
            <w:tcBorders>
              <w:top w:val="nil"/>
              <w:left w:val="nil"/>
              <w:bottom w:val="nil"/>
              <w:right w:val="nil"/>
            </w:tcBorders>
          </w:tcPr>
          <w:p>
            <w:pPr>
              <w:pStyle w:val="0"/>
            </w:pPr>
            <w:r>
              <w:rPr>
                <w:sz w:val="24"/>
              </w:rPr>
              <w:t xml:space="preserve">Адрес проживания</w:t>
            </w:r>
          </w:p>
        </w:tc>
        <w:tc>
          <w:tcPr>
            <w:gridSpan w:val="6"/>
            <w:tcW w:w="6844" w:type="dxa"/>
            <w:tcBorders>
              <w:top w:val="nil"/>
              <w:left w:val="nil"/>
              <w:bottom w:val="single" w:sz="4"/>
              <w:right w:val="nil"/>
            </w:tcBorders>
          </w:tcPr>
          <w:p>
            <w:pPr>
              <w:pStyle w:val="0"/>
            </w:pPr>
            <w:r>
              <w:rPr>
                <w:sz w:val="24"/>
              </w:rPr>
            </w:r>
          </w:p>
        </w:tc>
      </w:tr>
      <w:tr>
        <w:tc>
          <w:tcPr>
            <w:gridSpan w:val="6"/>
            <w:tcW w:w="4472" w:type="dxa"/>
            <w:vAlign w:val="bottom"/>
            <w:tcBorders>
              <w:top w:val="nil"/>
              <w:left w:val="nil"/>
              <w:bottom w:val="nil"/>
              <w:right w:val="nil"/>
            </w:tcBorders>
          </w:tcPr>
          <w:p>
            <w:pPr>
              <w:pStyle w:val="0"/>
            </w:pPr>
            <w:r>
              <w:rPr>
                <w:sz w:val="24"/>
              </w:rPr>
              <w:t xml:space="preserve">Документ, удостоверяющий личность,</w:t>
            </w:r>
          </w:p>
        </w:tc>
        <w:tc>
          <w:tcPr>
            <w:gridSpan w:val="3"/>
            <w:tcW w:w="4599" w:type="dxa"/>
            <w:tcBorders>
              <w:top w:val="single" w:sz="4"/>
              <w:left w:val="nil"/>
              <w:bottom w:val="single" w:sz="4"/>
              <w:right w:val="nil"/>
            </w:tcBorders>
          </w:tcPr>
          <w:p>
            <w:pPr>
              <w:pStyle w:val="0"/>
            </w:pPr>
            <w:r>
              <w:rPr>
                <w:sz w:val="24"/>
              </w:rPr>
            </w:r>
          </w:p>
        </w:tc>
      </w:tr>
      <w:tr>
        <w:tc>
          <w:tcPr>
            <w:gridSpan w:val="6"/>
            <w:tcW w:w="4472" w:type="dxa"/>
            <w:tcBorders>
              <w:top w:val="nil"/>
              <w:left w:val="nil"/>
              <w:bottom w:val="nil"/>
              <w:right w:val="nil"/>
            </w:tcBorders>
          </w:tcPr>
          <w:p>
            <w:pPr>
              <w:pStyle w:val="0"/>
            </w:pPr>
            <w:r>
              <w:rPr>
                <w:sz w:val="24"/>
              </w:rPr>
            </w:r>
          </w:p>
        </w:tc>
        <w:tc>
          <w:tcPr>
            <w:gridSpan w:val="3"/>
            <w:tcW w:w="4599" w:type="dxa"/>
            <w:tcBorders>
              <w:top w:val="single" w:sz="4"/>
              <w:left w:val="nil"/>
              <w:bottom w:val="nil"/>
              <w:right w:val="nil"/>
            </w:tcBorders>
          </w:tcPr>
          <w:p>
            <w:pPr>
              <w:pStyle w:val="0"/>
              <w:jc w:val="center"/>
            </w:pPr>
            <w:r>
              <w:rPr>
                <w:sz w:val="24"/>
              </w:rPr>
              <w:t xml:space="preserve">(наименование документа)</w:t>
            </w:r>
          </w:p>
        </w:tc>
      </w:tr>
      <w:tr>
        <w:tc>
          <w:tcPr>
            <w:tcW w:w="814" w:type="dxa"/>
            <w:vAlign w:val="bottom"/>
            <w:tcBorders>
              <w:top w:val="nil"/>
              <w:left w:val="nil"/>
              <w:bottom w:val="nil"/>
              <w:right w:val="nil"/>
            </w:tcBorders>
          </w:tcPr>
          <w:p>
            <w:pPr>
              <w:pStyle w:val="0"/>
            </w:pPr>
            <w:r>
              <w:rPr>
                <w:sz w:val="24"/>
              </w:rPr>
              <w:t xml:space="preserve">серия</w:t>
            </w:r>
          </w:p>
        </w:tc>
        <w:tc>
          <w:tcPr>
            <w:gridSpan w:val="4"/>
            <w:tcW w:w="2649" w:type="dxa"/>
            <w:vAlign w:val="bottom"/>
            <w:tcBorders>
              <w:top w:val="nil"/>
              <w:left w:val="nil"/>
              <w:bottom w:val="single" w:sz="4"/>
              <w:right w:val="nil"/>
            </w:tcBorders>
          </w:tcPr>
          <w:p>
            <w:pPr>
              <w:pStyle w:val="0"/>
            </w:pPr>
            <w:r>
              <w:rPr>
                <w:sz w:val="24"/>
              </w:rPr>
            </w:r>
          </w:p>
        </w:tc>
        <w:tc>
          <w:tcPr>
            <w:tcW w:w="1009" w:type="dxa"/>
            <w:vAlign w:val="bottom"/>
            <w:tcBorders>
              <w:top w:val="nil"/>
              <w:left w:val="nil"/>
              <w:bottom w:val="nil"/>
              <w:right w:val="nil"/>
            </w:tcBorders>
          </w:tcPr>
          <w:p>
            <w:pPr>
              <w:pStyle w:val="0"/>
              <w:jc w:val="center"/>
            </w:pPr>
            <w:r>
              <w:rPr>
                <w:sz w:val="24"/>
              </w:rPr>
              <w:t xml:space="preserve">номер</w:t>
            </w:r>
          </w:p>
        </w:tc>
        <w:tc>
          <w:tcPr>
            <w:gridSpan w:val="3"/>
            <w:tcW w:w="4599" w:type="dxa"/>
            <w:tcBorders>
              <w:top w:val="nil"/>
              <w:left w:val="nil"/>
              <w:bottom w:val="single" w:sz="4"/>
              <w:right w:val="nil"/>
            </w:tcBorders>
          </w:tcPr>
          <w:p>
            <w:pPr>
              <w:pStyle w:val="0"/>
            </w:pPr>
            <w:r>
              <w:rPr>
                <w:sz w:val="24"/>
              </w:rPr>
            </w:r>
          </w:p>
        </w:tc>
      </w:tr>
      <w:tr>
        <w:tc>
          <w:tcPr>
            <w:gridSpan w:val="3"/>
            <w:tcW w:w="2227" w:type="dxa"/>
            <w:vAlign w:val="bottom"/>
            <w:tcBorders>
              <w:top w:val="nil"/>
              <w:left w:val="nil"/>
              <w:bottom w:val="nil"/>
              <w:right w:val="nil"/>
            </w:tcBorders>
          </w:tcPr>
          <w:p>
            <w:pPr>
              <w:pStyle w:val="0"/>
            </w:pPr>
            <w:r>
              <w:rPr>
                <w:sz w:val="24"/>
              </w:rPr>
              <w:t xml:space="preserve">кем и когда выдан</w:t>
            </w:r>
          </w:p>
        </w:tc>
        <w:tc>
          <w:tcPr>
            <w:gridSpan w:val="6"/>
            <w:tcW w:w="6844" w:type="dxa"/>
            <w:tcBorders>
              <w:top w:val="nil"/>
              <w:left w:val="nil"/>
              <w:bottom w:val="single" w:sz="4"/>
              <w:right w:val="nil"/>
            </w:tcBorders>
          </w:tcPr>
          <w:p>
            <w:pPr>
              <w:pStyle w:val="0"/>
            </w:pPr>
            <w:r>
              <w:rPr>
                <w:sz w:val="24"/>
              </w:rPr>
            </w:r>
          </w:p>
        </w:tc>
      </w:tr>
      <w:tr>
        <w:tc>
          <w:tcPr>
            <w:gridSpan w:val="4"/>
            <w:tcW w:w="2770" w:type="dxa"/>
            <w:vAlign w:val="bottom"/>
            <w:tcBorders>
              <w:top w:val="nil"/>
              <w:left w:val="nil"/>
              <w:bottom w:val="nil"/>
              <w:right w:val="nil"/>
            </w:tcBorders>
          </w:tcPr>
          <w:p>
            <w:pPr>
              <w:pStyle w:val="0"/>
            </w:pPr>
            <w:r>
              <w:rPr>
                <w:sz w:val="24"/>
              </w:rPr>
              <w:t xml:space="preserve">Дата и место рождения</w:t>
            </w:r>
          </w:p>
        </w:tc>
        <w:tc>
          <w:tcPr>
            <w:gridSpan w:val="5"/>
            <w:tcW w:w="6301" w:type="dxa"/>
            <w:tcBorders>
              <w:top w:val="single" w:sz="4"/>
              <w:left w:val="nil"/>
              <w:bottom w:val="single" w:sz="4"/>
              <w:right w:val="nil"/>
            </w:tcBorders>
          </w:tcPr>
          <w:p>
            <w:pPr>
              <w:pStyle w:val="0"/>
            </w:pPr>
            <w:r>
              <w:rPr>
                <w:sz w:val="24"/>
              </w:rPr>
            </w:r>
          </w:p>
        </w:tc>
      </w:tr>
      <w:tr>
        <w:tc>
          <w:tcPr>
            <w:gridSpan w:val="8"/>
            <w:tcW w:w="6872" w:type="dxa"/>
            <w:vAlign w:val="bottom"/>
            <w:tcBorders>
              <w:top w:val="nil"/>
              <w:left w:val="nil"/>
              <w:bottom w:val="nil"/>
              <w:right w:val="nil"/>
            </w:tcBorders>
          </w:tcPr>
          <w:p>
            <w:pPr>
              <w:pStyle w:val="0"/>
            </w:pPr>
            <w:r>
              <w:rPr>
                <w:sz w:val="24"/>
              </w:rPr>
              <w:t xml:space="preserve">Страховой номер индивидуального лицевого счета (СНИЛС)</w:t>
            </w:r>
          </w:p>
        </w:tc>
        <w:tc>
          <w:tcPr>
            <w:tcW w:w="2199" w:type="dxa"/>
            <w:tcBorders>
              <w:top w:val="single" w:sz="4"/>
              <w:left w:val="nil"/>
              <w:bottom w:val="single" w:sz="4"/>
              <w:right w:val="nil"/>
            </w:tcBorders>
          </w:tcPr>
          <w:p>
            <w:pPr>
              <w:pStyle w:val="0"/>
            </w:pPr>
            <w:r>
              <w:rPr>
                <w:sz w:val="24"/>
              </w:rPr>
            </w:r>
          </w:p>
        </w:tc>
      </w:tr>
      <w:tr>
        <w:tc>
          <w:tcPr>
            <w:gridSpan w:val="2"/>
            <w:tcW w:w="1085" w:type="dxa"/>
            <w:vAlign w:val="bottom"/>
            <w:tcBorders>
              <w:top w:val="nil"/>
              <w:left w:val="nil"/>
              <w:bottom w:val="nil"/>
              <w:right w:val="nil"/>
            </w:tcBorders>
          </w:tcPr>
          <w:p>
            <w:pPr>
              <w:pStyle w:val="0"/>
            </w:pPr>
            <w:r>
              <w:rPr>
                <w:sz w:val="24"/>
              </w:rPr>
              <w:t xml:space="preserve">Телефон</w:t>
            </w:r>
          </w:p>
        </w:tc>
        <w:tc>
          <w:tcPr>
            <w:gridSpan w:val="7"/>
            <w:tcW w:w="7986" w:type="dxa"/>
            <w:tcBorders>
              <w:top w:val="nil"/>
              <w:left w:val="nil"/>
              <w:bottom w:val="single" w:sz="4"/>
              <w:right w:val="nil"/>
            </w:tcBorders>
          </w:tcPr>
          <w:p>
            <w:pPr>
              <w:pStyle w:val="0"/>
            </w:pPr>
            <w:r>
              <w:rPr>
                <w:sz w:val="24"/>
              </w:rPr>
            </w:r>
          </w:p>
        </w:tc>
      </w:tr>
      <w:tr>
        <w:tc>
          <w:tcPr>
            <w:gridSpan w:val="7"/>
            <w:tcW w:w="4741" w:type="dxa"/>
            <w:vAlign w:val="bottom"/>
            <w:tcBorders>
              <w:top w:val="nil"/>
              <w:left w:val="nil"/>
              <w:bottom w:val="nil"/>
              <w:right w:val="nil"/>
            </w:tcBorders>
          </w:tcPr>
          <w:p>
            <w:pPr>
              <w:pStyle w:val="0"/>
            </w:pPr>
            <w:r>
              <w:rPr>
                <w:sz w:val="24"/>
              </w:rPr>
              <w:t xml:space="preserve">Адрес электронной почты (при наличии)</w:t>
            </w:r>
          </w:p>
        </w:tc>
        <w:tc>
          <w:tcPr>
            <w:gridSpan w:val="2"/>
            <w:tcW w:w="4330"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pPr>
            <w:r>
              <w:rPr>
                <w:sz w:val="24"/>
              </w:rPr>
              <w:t xml:space="preserve">В сопровождении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нуждаюсь</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 нуждаюсь (указать нужное)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Сведения о сопровождающем лице </w:t>
            </w:r>
            <w:hyperlink w:history="0" w:anchor="P212" w:tooltip="&lt;*&gt; Заполняется в случае, если заявителю установлена инвалидность I группы или если нуждаемость в сопровождении для получения санаторно-курортного лечения и (или) медицинской реабилитации обусловлена медицинскими показаниями.">
              <w:r>
                <w:rPr>
                  <w:sz w:val="24"/>
                  <w:color w:val="0000ff"/>
                </w:rPr>
                <w:t xml:space="preserve">&lt;*&gt;</w:t>
              </w:r>
            </w:hyperlink>
          </w:p>
        </w:tc>
      </w:tr>
    </w:tbl>
    <w:p>
      <w:pPr>
        <w:pStyle w:val="0"/>
        <w:jc w:val="both"/>
      </w:pPr>
      <w:r>
        <w:rPr>
          <w:sz w:val="24"/>
        </w:rPr>
      </w:r>
    </w:p>
    <w:tbl>
      <w:tblPr>
        <w:tblInd w:w="0" w:type="dxa"/>
        <w:tblLayout w:type="fixed"/>
        <w:tblCellMar>
          <w:top w:w="102" w:type="dxa"/>
          <w:left w:w="62" w:type="dxa"/>
          <w:bottom w:w="102" w:type="dxa"/>
          <w:right w:w="62" w:type="dxa"/>
        </w:tblCellMar>
      </w:tblPr>
      <w:tblGrid>
        <w:gridCol w:w="814"/>
        <w:gridCol w:w="340"/>
        <w:gridCol w:w="1077"/>
        <w:gridCol w:w="1230"/>
        <w:gridCol w:w="937"/>
        <w:gridCol w:w="257"/>
        <w:gridCol w:w="2234"/>
        <w:gridCol w:w="2180"/>
      </w:tblGrid>
      <w:tr>
        <w:tc>
          <w:tcPr>
            <w:gridSpan w:val="8"/>
            <w:tcW w:w="9069" w:type="dxa"/>
            <w:tcBorders>
              <w:top w:val="nil"/>
              <w:left w:val="nil"/>
              <w:bottom w:val="nil"/>
              <w:right w:val="nil"/>
            </w:tcBorders>
          </w:tcPr>
          <w:p>
            <w:pPr>
              <w:pStyle w:val="0"/>
            </w:pPr>
            <w:r>
              <w:rPr>
                <w:sz w:val="24"/>
              </w:rPr>
              <w:t xml:space="preserve">Фамилия, имя, отчество (при наличии)</w:t>
            </w:r>
          </w:p>
          <w:p>
            <w:pPr>
              <w:pStyle w:val="0"/>
            </w:pPr>
            <w:r>
              <w:rPr>
                <w:sz w:val="24"/>
              </w:rPr>
              <w:t xml:space="preserve">сопровождающего __________________________________________________________</w:t>
            </w:r>
          </w:p>
        </w:tc>
      </w:tr>
      <w:tr>
        <w:tc>
          <w:tcPr>
            <w:gridSpan w:val="5"/>
            <w:tcW w:w="4398" w:type="dxa"/>
            <w:vAlign w:val="bottom"/>
            <w:tcBorders>
              <w:top w:val="nil"/>
              <w:left w:val="nil"/>
              <w:bottom w:val="nil"/>
              <w:right w:val="nil"/>
            </w:tcBorders>
          </w:tcPr>
          <w:p>
            <w:pPr>
              <w:pStyle w:val="0"/>
            </w:pPr>
            <w:r>
              <w:rPr>
                <w:sz w:val="24"/>
              </w:rPr>
              <w:t xml:space="preserve">Документ, удостоверяющий личность,</w:t>
            </w:r>
          </w:p>
        </w:tc>
        <w:tc>
          <w:tcPr>
            <w:gridSpan w:val="3"/>
            <w:tcW w:w="4671" w:type="dxa"/>
            <w:tcBorders>
              <w:top w:val="nil"/>
              <w:left w:val="nil"/>
              <w:bottom w:val="single" w:sz="4"/>
              <w:right w:val="nil"/>
            </w:tcBorders>
          </w:tcPr>
          <w:p>
            <w:pPr>
              <w:pStyle w:val="0"/>
            </w:pPr>
            <w:r>
              <w:rPr>
                <w:sz w:val="24"/>
              </w:rPr>
            </w:r>
          </w:p>
        </w:tc>
      </w:tr>
      <w:tr>
        <w:tc>
          <w:tcPr>
            <w:gridSpan w:val="5"/>
            <w:tcW w:w="4398" w:type="dxa"/>
            <w:tcBorders>
              <w:top w:val="nil"/>
              <w:left w:val="nil"/>
              <w:bottom w:val="nil"/>
              <w:right w:val="nil"/>
            </w:tcBorders>
          </w:tcPr>
          <w:p>
            <w:pPr>
              <w:pStyle w:val="0"/>
            </w:pPr>
            <w:r>
              <w:rPr>
                <w:sz w:val="24"/>
              </w:rPr>
            </w:r>
          </w:p>
        </w:tc>
        <w:tc>
          <w:tcPr>
            <w:gridSpan w:val="3"/>
            <w:tcW w:w="4671" w:type="dxa"/>
            <w:tcBorders>
              <w:top w:val="single" w:sz="4"/>
              <w:left w:val="nil"/>
              <w:bottom w:val="nil"/>
              <w:right w:val="nil"/>
            </w:tcBorders>
          </w:tcPr>
          <w:p>
            <w:pPr>
              <w:pStyle w:val="0"/>
              <w:jc w:val="center"/>
            </w:pPr>
            <w:r>
              <w:rPr>
                <w:sz w:val="24"/>
              </w:rPr>
              <w:t xml:space="preserve">(наименование документа)</w:t>
            </w:r>
          </w:p>
        </w:tc>
      </w:tr>
      <w:tr>
        <w:tc>
          <w:tcPr>
            <w:tcW w:w="814" w:type="dxa"/>
            <w:vAlign w:val="bottom"/>
            <w:tcBorders>
              <w:top w:val="nil"/>
              <w:left w:val="nil"/>
              <w:bottom w:val="nil"/>
              <w:right w:val="nil"/>
            </w:tcBorders>
          </w:tcPr>
          <w:p>
            <w:pPr>
              <w:pStyle w:val="0"/>
            </w:pPr>
            <w:r>
              <w:rPr>
                <w:sz w:val="24"/>
              </w:rPr>
              <w:t xml:space="preserve">серия</w:t>
            </w:r>
          </w:p>
        </w:tc>
        <w:tc>
          <w:tcPr>
            <w:gridSpan w:val="3"/>
            <w:tcW w:w="2647" w:type="dxa"/>
            <w:vAlign w:val="bottom"/>
            <w:tcBorders>
              <w:top w:val="nil"/>
              <w:left w:val="nil"/>
              <w:bottom w:val="single" w:sz="4"/>
              <w:right w:val="nil"/>
            </w:tcBorders>
          </w:tcPr>
          <w:p>
            <w:pPr>
              <w:pStyle w:val="0"/>
            </w:pPr>
            <w:r>
              <w:rPr>
                <w:sz w:val="24"/>
              </w:rPr>
            </w:r>
          </w:p>
        </w:tc>
        <w:tc>
          <w:tcPr>
            <w:tcW w:w="937" w:type="dxa"/>
            <w:vAlign w:val="bottom"/>
            <w:tcBorders>
              <w:top w:val="nil"/>
              <w:left w:val="nil"/>
              <w:bottom w:val="nil"/>
              <w:right w:val="nil"/>
            </w:tcBorders>
          </w:tcPr>
          <w:p>
            <w:pPr>
              <w:pStyle w:val="0"/>
              <w:jc w:val="center"/>
            </w:pPr>
            <w:r>
              <w:rPr>
                <w:sz w:val="24"/>
              </w:rPr>
              <w:t xml:space="preserve">номер</w:t>
            </w:r>
          </w:p>
        </w:tc>
        <w:tc>
          <w:tcPr>
            <w:gridSpan w:val="3"/>
            <w:tcW w:w="4671" w:type="dxa"/>
            <w:tcBorders>
              <w:top w:val="nil"/>
              <w:left w:val="nil"/>
              <w:bottom w:val="single" w:sz="4"/>
              <w:right w:val="nil"/>
            </w:tcBorders>
          </w:tcPr>
          <w:p>
            <w:pPr>
              <w:pStyle w:val="0"/>
            </w:pPr>
            <w:r>
              <w:rPr>
                <w:sz w:val="24"/>
              </w:rPr>
            </w:r>
          </w:p>
        </w:tc>
      </w:tr>
      <w:tr>
        <w:tc>
          <w:tcPr>
            <w:gridSpan w:val="3"/>
            <w:tcW w:w="2231" w:type="dxa"/>
            <w:vAlign w:val="bottom"/>
            <w:tcBorders>
              <w:top w:val="nil"/>
              <w:left w:val="nil"/>
              <w:bottom w:val="nil"/>
              <w:right w:val="nil"/>
            </w:tcBorders>
          </w:tcPr>
          <w:p>
            <w:pPr>
              <w:pStyle w:val="0"/>
            </w:pPr>
            <w:r>
              <w:rPr>
                <w:sz w:val="24"/>
              </w:rPr>
              <w:t xml:space="preserve">кем и когда выдан</w:t>
            </w:r>
          </w:p>
        </w:tc>
        <w:tc>
          <w:tcPr>
            <w:gridSpan w:val="5"/>
            <w:tcW w:w="6838" w:type="dxa"/>
            <w:tcBorders>
              <w:top w:val="nil"/>
              <w:left w:val="nil"/>
              <w:bottom w:val="single" w:sz="4"/>
              <w:right w:val="nil"/>
            </w:tcBorders>
          </w:tcPr>
          <w:p>
            <w:pPr>
              <w:pStyle w:val="0"/>
            </w:pPr>
            <w:r>
              <w:rPr>
                <w:sz w:val="24"/>
              </w:rPr>
            </w:r>
          </w:p>
        </w:tc>
      </w:tr>
      <w:tr>
        <w:tc>
          <w:tcPr>
            <w:gridSpan w:val="7"/>
            <w:tcW w:w="6889" w:type="dxa"/>
            <w:vAlign w:val="bottom"/>
            <w:tcBorders>
              <w:top w:val="nil"/>
              <w:left w:val="nil"/>
              <w:bottom w:val="nil"/>
              <w:right w:val="nil"/>
            </w:tcBorders>
          </w:tcPr>
          <w:p>
            <w:pPr>
              <w:pStyle w:val="0"/>
            </w:pPr>
            <w:r>
              <w:rPr>
                <w:sz w:val="24"/>
              </w:rPr>
              <w:t xml:space="preserve">Страховой номер индивидуального лицевого счета (СНИЛС)</w:t>
            </w:r>
          </w:p>
        </w:tc>
        <w:tc>
          <w:tcPr>
            <w:tcW w:w="2180" w:type="dxa"/>
            <w:tcBorders>
              <w:top w:val="single" w:sz="4"/>
              <w:left w:val="nil"/>
              <w:bottom w:val="single" w:sz="4"/>
              <w:right w:val="nil"/>
            </w:tcBorders>
          </w:tcPr>
          <w:p>
            <w:pPr>
              <w:pStyle w:val="0"/>
            </w:pPr>
            <w:r>
              <w:rPr>
                <w:sz w:val="24"/>
              </w:rPr>
            </w:r>
          </w:p>
        </w:tc>
      </w:tr>
      <w:tr>
        <w:tc>
          <w:tcPr>
            <w:gridSpan w:val="2"/>
            <w:tcW w:w="1154" w:type="dxa"/>
            <w:vAlign w:val="bottom"/>
            <w:tcBorders>
              <w:top w:val="nil"/>
              <w:left w:val="nil"/>
              <w:bottom w:val="nil"/>
              <w:right w:val="nil"/>
            </w:tcBorders>
          </w:tcPr>
          <w:p>
            <w:pPr>
              <w:pStyle w:val="0"/>
            </w:pPr>
            <w:r>
              <w:rPr>
                <w:sz w:val="24"/>
              </w:rPr>
              <w:t xml:space="preserve">Телефон</w:t>
            </w:r>
          </w:p>
        </w:tc>
        <w:tc>
          <w:tcPr>
            <w:gridSpan w:val="6"/>
            <w:tcW w:w="7915" w:type="dxa"/>
            <w:vAlign w:val="bottom"/>
            <w:tcBorders>
              <w:top w:val="nil"/>
              <w:left w:val="nil"/>
              <w:bottom w:val="single" w:sz="4"/>
              <w:right w:val="nil"/>
            </w:tcBorders>
          </w:tcPr>
          <w:p>
            <w:pPr>
              <w:pStyle w:val="0"/>
            </w:pPr>
            <w:r>
              <w:rPr>
                <w:sz w:val="24"/>
              </w:rPr>
            </w:r>
          </w:p>
        </w:tc>
      </w:tr>
      <w:tr>
        <w:tc>
          <w:tcPr>
            <w:gridSpan w:val="6"/>
            <w:tcW w:w="4655" w:type="dxa"/>
            <w:vAlign w:val="bottom"/>
            <w:tcBorders>
              <w:top w:val="nil"/>
              <w:left w:val="nil"/>
              <w:bottom w:val="nil"/>
              <w:right w:val="nil"/>
            </w:tcBorders>
          </w:tcPr>
          <w:p>
            <w:pPr>
              <w:pStyle w:val="0"/>
            </w:pPr>
            <w:r>
              <w:rPr>
                <w:sz w:val="24"/>
              </w:rPr>
              <w:t xml:space="preserve">Адрес электронной почты (при наличии)</w:t>
            </w:r>
          </w:p>
        </w:tc>
        <w:tc>
          <w:tcPr>
            <w:gridSpan w:val="2"/>
            <w:tcW w:w="4414"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69"/>
      </w:tblGrid>
      <w:tr>
        <w:tc>
          <w:tcPr>
            <w:tcW w:w="9069" w:type="dxa"/>
            <w:tcBorders>
              <w:top w:val="nil"/>
              <w:left w:val="nil"/>
              <w:bottom w:val="nil"/>
              <w:right w:val="nil"/>
            </w:tcBorders>
          </w:tcPr>
          <w:p>
            <w:pPr>
              <w:pStyle w:val="0"/>
            </w:pPr>
            <w:r>
              <w:rPr>
                <w:sz w:val="24"/>
              </w:rPr>
              <w:t xml:space="preserve">Прошу (указать нужное):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67"/>
        <w:gridCol w:w="3969"/>
        <w:gridCol w:w="567"/>
        <w:gridCol w:w="3969"/>
      </w:tblGrid>
      <w:tr>
        <w:tc>
          <w:tcPr>
            <w:tcW w:w="567"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p>
        </w:tc>
        <w:tc>
          <w:tcPr>
            <w:tcW w:w="3969" w:type="dxa"/>
            <w:tcBorders>
              <w:top w:val="nil"/>
              <w:left w:val="nil"/>
              <w:bottom w:val="nil"/>
              <w:right w:val="nil"/>
            </w:tcBorders>
          </w:tcPr>
          <w:p>
            <w:pPr>
              <w:pStyle w:val="0"/>
            </w:pPr>
            <w:r>
              <w:rPr>
                <w:sz w:val="24"/>
              </w:rPr>
              <w:t xml:space="preserve">направить на санаторно-курортное лечение</w:t>
            </w:r>
          </w:p>
        </w:tc>
        <w:tc>
          <w:tcPr>
            <w:tcW w:w="567"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p>
        </w:tc>
        <w:tc>
          <w:tcPr>
            <w:tcW w:w="3969" w:type="dxa"/>
            <w:tcBorders>
              <w:top w:val="nil"/>
              <w:left w:val="nil"/>
              <w:bottom w:val="nil"/>
              <w:right w:val="nil"/>
            </w:tcBorders>
          </w:tcPr>
          <w:p>
            <w:pPr>
              <w:pStyle w:val="0"/>
            </w:pPr>
            <w:r>
              <w:rPr>
                <w:sz w:val="24"/>
              </w:rPr>
              <w:t xml:space="preserve">направить на медицинскую реабилитацию</w:t>
            </w:r>
          </w:p>
        </w:tc>
      </w:tr>
      <w:tr>
        <w:tc>
          <w:tcPr>
            <w:tcW w:w="567" w:type="dxa"/>
            <w:tcBorders>
              <w:top w:val="nil"/>
              <w:left w:val="nil"/>
              <w:bottom w:val="nil"/>
              <w:right w:val="nil"/>
            </w:tcBorders>
          </w:tcPr>
          <w:p>
            <w:pPr>
              <w:pStyle w:val="0"/>
            </w:pPr>
            <w:r>
              <w:rPr>
                <w:sz w:val="24"/>
              </w:rPr>
            </w:r>
          </w:p>
        </w:tc>
        <w:tc>
          <w:tcPr>
            <w:tcW w:w="3969" w:type="dxa"/>
            <w:tcBorders>
              <w:top w:val="nil"/>
              <w:left w:val="nil"/>
              <w:bottom w:val="nil"/>
              <w:right w:val="nil"/>
            </w:tcBorders>
          </w:tcPr>
          <w:p>
            <w:pPr>
              <w:pStyle w:val="0"/>
              <w:jc w:val="center"/>
            </w:pPr>
            <w:r>
              <w:rPr>
                <w:sz w:val="24"/>
              </w:rPr>
              <w:t xml:space="preserve">(длительность санаторно-курортного лечения не более 21 календарного дня)</w:t>
            </w:r>
          </w:p>
        </w:tc>
        <w:tc>
          <w:tcPr>
            <w:tcW w:w="567" w:type="dxa"/>
            <w:tcBorders>
              <w:top w:val="nil"/>
              <w:left w:val="nil"/>
              <w:bottom w:val="nil"/>
              <w:right w:val="nil"/>
            </w:tcBorders>
          </w:tcPr>
          <w:p>
            <w:pPr>
              <w:pStyle w:val="0"/>
            </w:pPr>
            <w:r>
              <w:rPr>
                <w:sz w:val="24"/>
              </w:rPr>
            </w:r>
          </w:p>
        </w:tc>
        <w:tc>
          <w:tcPr>
            <w:tcW w:w="3969"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67"/>
        <w:gridCol w:w="8504"/>
      </w:tblGrid>
      <w:tr>
        <w:tc>
          <w:tcPr>
            <w:tcW w:w="567"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p>
        </w:tc>
        <w:tc>
          <w:tcPr>
            <w:tcW w:w="8504" w:type="dxa"/>
            <w:tcBorders>
              <w:top w:val="nil"/>
              <w:left w:val="nil"/>
              <w:bottom w:val="nil"/>
              <w:right w:val="nil"/>
            </w:tcBorders>
          </w:tcPr>
          <w:p>
            <w:pPr>
              <w:pStyle w:val="0"/>
              <w:jc w:val="both"/>
            </w:pPr>
            <w:r>
              <w:rPr>
                <w:sz w:val="24"/>
              </w:rPr>
              <w:t xml:space="preserve">предоставить бесплатный проезд к месту получения санаторно-курортного лечения и (или) медицинской реабилитации</w:t>
            </w:r>
          </w:p>
        </w:tc>
      </w:tr>
    </w:tbl>
    <w:p>
      <w:pPr>
        <w:pStyle w:val="0"/>
        <w:jc w:val="both"/>
      </w:pPr>
      <w:r>
        <w:rPr>
          <w:sz w:val="24"/>
        </w:rPr>
      </w:r>
    </w:p>
    <w:tbl>
      <w:tblPr>
        <w:tblInd w:w="0" w:type="dxa"/>
        <w:tblLayout w:type="fixed"/>
        <w:tblBorders>
          <w:bottom w:val="single" w:sz="4"/>
        </w:tblBorders>
        <w:tblCellMar>
          <w:top w:w="102" w:type="dxa"/>
          <w:left w:w="62" w:type="dxa"/>
          <w:bottom w:w="102" w:type="dxa"/>
          <w:right w:w="62" w:type="dxa"/>
        </w:tblCellMar>
      </w:tblPr>
      <w:tblGrid>
        <w:gridCol w:w="9069"/>
      </w:tblGrid>
      <w:tr>
        <w:tc>
          <w:tcPr>
            <w:tcW w:w="9069" w:type="dxa"/>
            <w:tcBorders>
              <w:top w:val="nil"/>
              <w:left w:val="nil"/>
              <w:bottom w:val="nil"/>
              <w:right w:val="nil"/>
            </w:tcBorders>
          </w:tcPr>
          <w:p>
            <w:pPr>
              <w:pStyle w:val="0"/>
              <w:ind w:firstLine="283"/>
              <w:jc w:val="both"/>
            </w:pPr>
            <w:r>
              <w:rPr>
                <w:sz w:val="24"/>
              </w:rPr>
              <w:t xml:space="preserve">Прошу сообщить о принятом решении на адрес электронной почты или иным способом (указать нужное) (в случае подачи заявления на бумажном носителе).</w:t>
            </w:r>
          </w:p>
          <w:p>
            <w:pPr>
              <w:pStyle w:val="0"/>
              <w:ind w:firstLine="283"/>
              <w:jc w:val="both"/>
            </w:pPr>
            <w:r>
              <w:rPr>
                <w:sz w:val="24"/>
              </w:rPr>
              <w:t xml:space="preserve">Предпочтительный способ информирования о принятом решении:</w:t>
            </w:r>
          </w:p>
        </w:tc>
      </w:tr>
      <w:tr>
        <w:tc>
          <w:tcPr>
            <w:tcW w:w="9069"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67"/>
        <w:gridCol w:w="3005"/>
        <w:gridCol w:w="737"/>
        <w:gridCol w:w="4181"/>
        <w:gridCol w:w="567"/>
      </w:tblGrid>
      <w:tr>
        <w:tc>
          <w:tcPr>
            <w:tcW w:w="567" w:type="dxa"/>
            <w:tcBorders>
              <w:top w:val="nil"/>
              <w:left w:val="nil"/>
              <w:bottom w:val="nil"/>
              <w:right w:val="nil"/>
            </w:tcBorders>
          </w:tcPr>
          <w:p>
            <w:pPr>
              <w:pStyle w:val="0"/>
            </w:pPr>
            <w:r>
              <w:rPr>
                <w:sz w:val="24"/>
              </w:rPr>
            </w:r>
          </w:p>
        </w:tc>
        <w:tc>
          <w:tcPr>
            <w:tcW w:w="3005" w:type="dxa"/>
            <w:tcBorders>
              <w:top w:val="nil"/>
              <w:left w:val="nil"/>
              <w:bottom w:val="single" w:sz="4"/>
              <w:right w:val="nil"/>
            </w:tcBorders>
          </w:tcPr>
          <w:p>
            <w:pPr>
              <w:pStyle w:val="0"/>
            </w:pPr>
            <w:r>
              <w:rPr>
                <w:sz w:val="24"/>
              </w:rPr>
            </w:r>
          </w:p>
        </w:tc>
        <w:tc>
          <w:tcPr>
            <w:tcW w:w="737" w:type="dxa"/>
            <w:tcBorders>
              <w:top w:val="nil"/>
              <w:left w:val="nil"/>
              <w:bottom w:val="nil"/>
              <w:right w:val="nil"/>
            </w:tcBorders>
          </w:tcPr>
          <w:p>
            <w:pPr>
              <w:pStyle w:val="0"/>
            </w:pPr>
            <w:r>
              <w:rPr>
                <w:sz w:val="24"/>
              </w:rPr>
            </w:r>
          </w:p>
        </w:tc>
        <w:tc>
          <w:tcPr>
            <w:tcW w:w="4181" w:type="dxa"/>
            <w:tcBorders>
              <w:top w:val="nil"/>
              <w:left w:val="nil"/>
              <w:bottom w:val="single" w:sz="4"/>
              <w:right w:val="nil"/>
            </w:tcBorders>
          </w:tcPr>
          <w:p>
            <w:pPr>
              <w:pStyle w:val="0"/>
            </w:pPr>
            <w:r>
              <w:rPr>
                <w:sz w:val="24"/>
              </w:rPr>
            </w:r>
          </w:p>
        </w:tc>
        <w:tc>
          <w:tcPr>
            <w:tcW w:w="567" w:type="dxa"/>
            <w:tcBorders>
              <w:top w:val="nil"/>
              <w:left w:val="nil"/>
              <w:bottom w:val="nil"/>
              <w:right w:val="nil"/>
            </w:tcBorders>
          </w:tcPr>
          <w:p>
            <w:pPr>
              <w:pStyle w:val="0"/>
            </w:pPr>
            <w:r>
              <w:rPr>
                <w:sz w:val="24"/>
              </w:rPr>
            </w:r>
          </w:p>
        </w:tc>
      </w:tr>
      <w:tr>
        <w:tc>
          <w:tcPr>
            <w:tcW w:w="567" w:type="dxa"/>
            <w:tcBorders>
              <w:top w:val="nil"/>
              <w:left w:val="nil"/>
              <w:bottom w:val="nil"/>
              <w:right w:val="nil"/>
            </w:tcBorders>
          </w:tcPr>
          <w:p>
            <w:pPr>
              <w:pStyle w:val="0"/>
            </w:pPr>
            <w:r>
              <w:rPr>
                <w:sz w:val="24"/>
              </w:rPr>
            </w:r>
          </w:p>
        </w:tc>
        <w:tc>
          <w:tcPr>
            <w:tcW w:w="3005" w:type="dxa"/>
            <w:tcBorders>
              <w:top w:val="single" w:sz="4"/>
              <w:left w:val="nil"/>
              <w:bottom w:val="nil"/>
              <w:right w:val="nil"/>
            </w:tcBorders>
          </w:tcPr>
          <w:p>
            <w:pPr>
              <w:pStyle w:val="0"/>
              <w:jc w:val="center"/>
            </w:pPr>
            <w:r>
              <w:rPr>
                <w:sz w:val="24"/>
              </w:rPr>
              <w:t xml:space="preserve">(дата)</w:t>
            </w:r>
          </w:p>
        </w:tc>
        <w:tc>
          <w:tcPr>
            <w:tcW w:w="737" w:type="dxa"/>
            <w:tcBorders>
              <w:top w:val="nil"/>
              <w:left w:val="nil"/>
              <w:bottom w:val="nil"/>
              <w:right w:val="nil"/>
            </w:tcBorders>
          </w:tcPr>
          <w:p>
            <w:pPr>
              <w:pStyle w:val="0"/>
            </w:pPr>
            <w:r>
              <w:rPr>
                <w:sz w:val="24"/>
              </w:rPr>
            </w:r>
          </w:p>
        </w:tc>
        <w:tc>
          <w:tcPr>
            <w:tcW w:w="4181" w:type="dxa"/>
            <w:tcBorders>
              <w:top w:val="single" w:sz="4"/>
              <w:left w:val="nil"/>
              <w:bottom w:val="nil"/>
              <w:right w:val="nil"/>
            </w:tcBorders>
          </w:tcPr>
          <w:p>
            <w:pPr>
              <w:pStyle w:val="0"/>
              <w:jc w:val="center"/>
            </w:pPr>
            <w:r>
              <w:rPr>
                <w:sz w:val="24"/>
              </w:rPr>
              <w:t xml:space="preserve">(подпись заявителя)</w:t>
            </w:r>
          </w:p>
        </w:tc>
        <w:tc>
          <w:tcPr>
            <w:tcW w:w="567" w:type="dxa"/>
            <w:tcBorders>
              <w:top w:val="nil"/>
              <w:left w:val="nil"/>
              <w:bottom w:val="nil"/>
              <w:right w:val="nil"/>
            </w:tcBorders>
          </w:tcPr>
          <w:p>
            <w:pPr>
              <w:pStyle w:val="0"/>
            </w:pPr>
            <w:r>
              <w:rPr>
                <w:sz w:val="24"/>
              </w:rPr>
            </w:r>
          </w:p>
        </w:tc>
      </w:tr>
    </w:tbl>
    <w:p>
      <w:pPr>
        <w:pStyle w:val="0"/>
        <w:jc w:val="both"/>
      </w:pPr>
      <w:r>
        <w:rPr>
          <w:sz w:val="24"/>
        </w:rPr>
      </w:r>
    </w:p>
    <w:p>
      <w:pPr>
        <w:pStyle w:val="0"/>
        <w:ind w:firstLine="540"/>
        <w:jc w:val="both"/>
      </w:pPr>
      <w:r>
        <w:rPr>
          <w:sz w:val="24"/>
        </w:rPr>
        <w:t xml:space="preserve">--------------------------------</w:t>
      </w:r>
    </w:p>
    <w:bookmarkStart w:id="212" w:name="P212"/>
    <w:bookmarkEnd w:id="212"/>
    <w:p>
      <w:pPr>
        <w:pStyle w:val="0"/>
        <w:spacing w:before="240" w:lineRule="auto"/>
        <w:ind w:firstLine="540"/>
        <w:jc w:val="both"/>
      </w:pPr>
      <w:r>
        <w:rPr>
          <w:sz w:val="24"/>
        </w:rPr>
        <w:t xml:space="preserve">&lt;*&gt; Заполняется в случае, если заявителю установлена инвалидность I группы или если нуждаемость в сопровождении для получения санаторно-курортного лечения и (или) медицинской реабилитации обусловлена медицинскими показаниями.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Правилам предоставления и оплаты</w:t>
      </w:r>
    </w:p>
    <w:p>
      <w:pPr>
        <w:pStyle w:val="0"/>
        <w:jc w:val="right"/>
      </w:pPr>
      <w:r>
        <w:rPr>
          <w:sz w:val="24"/>
        </w:rPr>
        <w:t xml:space="preserve">услуг по санаторно-курортному</w:t>
      </w:r>
    </w:p>
    <w:p>
      <w:pPr>
        <w:pStyle w:val="0"/>
        <w:jc w:val="right"/>
      </w:pPr>
      <w:r>
        <w:rPr>
          <w:sz w:val="24"/>
        </w:rPr>
        <w:t xml:space="preserve">лечению и медицинской реабилитации</w:t>
      </w:r>
    </w:p>
    <w:p>
      <w:pPr>
        <w:pStyle w:val="0"/>
        <w:jc w:val="right"/>
      </w:pPr>
      <w:r>
        <w:rPr>
          <w:sz w:val="24"/>
        </w:rPr>
        <w:t xml:space="preserve">лиц, указанных в части 11 статьи 7</w:t>
      </w:r>
    </w:p>
    <w:p>
      <w:pPr>
        <w:pStyle w:val="0"/>
        <w:jc w:val="right"/>
      </w:pPr>
      <w:r>
        <w:rPr>
          <w:sz w:val="24"/>
        </w:rPr>
        <w:t xml:space="preserve">Федерального закона</w:t>
      </w:r>
    </w:p>
    <w:p>
      <w:pPr>
        <w:pStyle w:val="0"/>
        <w:jc w:val="right"/>
      </w:pPr>
      <w:r>
        <w:rPr>
          <w:sz w:val="24"/>
        </w:rPr>
        <w:t xml:space="preserve">"О бюджете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 на 2026 год</w:t>
      </w:r>
    </w:p>
    <w:p>
      <w:pPr>
        <w:pStyle w:val="0"/>
        <w:jc w:val="right"/>
      </w:pPr>
      <w:r>
        <w:rPr>
          <w:sz w:val="24"/>
        </w:rPr>
        <w:t xml:space="preserve">и на плановый период 2027</w:t>
      </w:r>
    </w:p>
    <w:p>
      <w:pPr>
        <w:pStyle w:val="0"/>
        <w:jc w:val="right"/>
      </w:pPr>
      <w:r>
        <w:rPr>
          <w:sz w:val="24"/>
        </w:rPr>
        <w:t xml:space="preserve">и 2028 годов", в реабилитационных</w:t>
      </w:r>
    </w:p>
    <w:p>
      <w:pPr>
        <w:pStyle w:val="0"/>
        <w:jc w:val="right"/>
      </w:pPr>
      <w:r>
        <w:rPr>
          <w:sz w:val="24"/>
        </w:rPr>
        <w:t xml:space="preserve">центрах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w:t>
      </w:r>
    </w:p>
    <w:p>
      <w:pPr>
        <w:pStyle w:val="0"/>
        <w:jc w:val="both"/>
      </w:pPr>
      <w:r>
        <w:rPr>
          <w:sz w:val="24"/>
        </w:rPr>
      </w:r>
    </w:p>
    <w:p>
      <w:pPr>
        <w:pStyle w:val="0"/>
        <w:jc w:val="right"/>
      </w:pPr>
      <w:r>
        <w:rPr>
          <w:sz w:val="24"/>
        </w:rPr>
        <w:t xml:space="preserve">(форма)</w:t>
      </w:r>
    </w:p>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9071"/>
      </w:tblGrid>
      <w:tr>
        <w:tc>
          <w:tcPr>
            <w:tcW w:w="9071" w:type="dxa"/>
            <w:tcBorders>
              <w:top w:val="nil"/>
              <w:left w:val="nil"/>
              <w:right w:val="nil"/>
            </w:tcBorders>
          </w:tcPr>
          <w:p>
            <w:pPr>
              <w:pStyle w:val="0"/>
            </w:pPr>
            <w:r>
              <w:rPr>
                <w:sz w:val="24"/>
              </w:rPr>
            </w:r>
          </w:p>
        </w:tc>
      </w:tr>
      <w:tr>
        <w:tc>
          <w:tcPr>
            <w:tcW w:w="9071" w:type="dxa"/>
            <w:tcBorders>
              <w:left w:val="nil"/>
              <w:bottom w:val="nil"/>
              <w:right w:val="nil"/>
            </w:tcBorders>
          </w:tcPr>
          <w:p>
            <w:pPr>
              <w:pStyle w:val="0"/>
              <w:jc w:val="center"/>
            </w:pPr>
            <w:r>
              <w:rPr>
                <w:sz w:val="24"/>
              </w:rPr>
              <w:t xml:space="preserve">(наименование территориального органа Фонда пенсионного и социального страхования Российской Федерации)</w:t>
            </w:r>
          </w:p>
        </w:tc>
      </w:tr>
    </w:tbl>
    <w:p>
      <w:pPr>
        <w:pStyle w:val="0"/>
        <w:jc w:val="both"/>
      </w:pPr>
      <w:r>
        <w:rPr>
          <w:sz w:val="24"/>
        </w:rPr>
      </w:r>
    </w:p>
    <w:bookmarkStart w:id="238" w:name="P238"/>
    <w:bookmarkEnd w:id="238"/>
    <w:p>
      <w:pPr>
        <w:pStyle w:val="1"/>
        <w:jc w:val="both"/>
      </w:pPr>
      <w:r>
        <w:rPr>
          <w:sz w:val="20"/>
        </w:rPr>
        <w:t xml:space="preserve">                                 ЗАЯВЛЕНИЕ</w:t>
      </w:r>
    </w:p>
    <w:p>
      <w:pPr>
        <w:pStyle w:val="1"/>
        <w:jc w:val="both"/>
      </w:pPr>
      <w:r>
        <w:rPr>
          <w:sz w:val="20"/>
        </w:rPr>
        <w:t xml:space="preserve">        об отзыве ранее поданного заявления о предоставлении услуг</w:t>
      </w:r>
    </w:p>
    <w:p>
      <w:pPr>
        <w:pStyle w:val="1"/>
        <w:jc w:val="both"/>
      </w:pPr>
      <w:r>
        <w:rPr>
          <w:sz w:val="20"/>
        </w:rPr>
        <w:t xml:space="preserve">     по санаторно-курортному лечению и (или) медицинской реабилитации</w:t>
      </w:r>
    </w:p>
    <w:p>
      <w:pPr>
        <w:pStyle w:val="1"/>
        <w:jc w:val="both"/>
      </w:pPr>
      <w:r>
        <w:rPr>
          <w:sz w:val="20"/>
        </w:rPr>
        <w:t xml:space="preserve">         в реабилитационном центре Фонда пенсионного и социального</w:t>
      </w:r>
    </w:p>
    <w:p>
      <w:pPr>
        <w:pStyle w:val="1"/>
        <w:jc w:val="both"/>
      </w:pPr>
      <w:r>
        <w:rPr>
          <w:sz w:val="20"/>
        </w:rPr>
        <w:t xml:space="preserve">                     страхования Российской Федерации</w:t>
      </w:r>
    </w:p>
    <w:p>
      <w:pPr>
        <w:pStyle w:val="1"/>
        <w:jc w:val="both"/>
      </w:pPr>
      <w:r>
        <w:rPr>
          <w:sz w:val="20"/>
        </w:rPr>
      </w:r>
    </w:p>
    <w:p>
      <w:pPr>
        <w:pStyle w:val="1"/>
        <w:jc w:val="both"/>
      </w:pPr>
      <w:r>
        <w:rPr>
          <w:sz w:val="20"/>
        </w:rPr>
        <w:t xml:space="preserve">    Я, ____________________________________________________________________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прошу  принять  и  учесть  мое  заявление  об  отзыве  ранее поданного мной</w:t>
      </w:r>
    </w:p>
    <w:p>
      <w:pPr>
        <w:pStyle w:val="1"/>
        <w:jc w:val="both"/>
      </w:pPr>
      <w:r>
        <w:rPr>
          <w:sz w:val="20"/>
        </w:rPr>
        <w:t xml:space="preserve">заявления  о  предоставлении  услуг по санаторно-курортному лечению и (или)</w:t>
      </w:r>
    </w:p>
    <w:p>
      <w:pPr>
        <w:pStyle w:val="1"/>
        <w:jc w:val="both"/>
      </w:pPr>
      <w:r>
        <w:rPr>
          <w:sz w:val="20"/>
        </w:rPr>
        <w:t xml:space="preserve">медицинской  реабилитации  в  реабилитационном  центре  Фонда пенсионного и</w:t>
      </w:r>
    </w:p>
    <w:p>
      <w:pPr>
        <w:pStyle w:val="1"/>
        <w:jc w:val="both"/>
      </w:pPr>
      <w:r>
        <w:rPr>
          <w:sz w:val="20"/>
        </w:rPr>
        <w:t xml:space="preserve">социального страхования Российской Федерации N ____________________________</w:t>
      </w:r>
    </w:p>
    <w:p>
      <w:pPr>
        <w:pStyle w:val="1"/>
        <w:jc w:val="both"/>
      </w:pPr>
      <w:r>
        <w:rPr>
          <w:sz w:val="20"/>
        </w:rPr>
        <w:t xml:space="preserve">                                                  (регистрационный номер</w:t>
      </w:r>
    </w:p>
    <w:p>
      <w:pPr>
        <w:pStyle w:val="1"/>
        <w:jc w:val="both"/>
      </w:pPr>
      <w:r>
        <w:rPr>
          <w:sz w:val="20"/>
        </w:rPr>
        <w:t xml:space="preserve">                                                        заявления)</w:t>
      </w:r>
    </w:p>
    <w:p>
      <w:pPr>
        <w:pStyle w:val="1"/>
        <w:jc w:val="both"/>
      </w:pPr>
      <w:r>
        <w:rPr>
          <w:sz w:val="20"/>
        </w:rPr>
        <w:t xml:space="preserve">от ______________ и прекратить его действие.</w:t>
      </w:r>
    </w:p>
    <w:p>
      <w:pPr>
        <w:pStyle w:val="1"/>
        <w:jc w:val="both"/>
      </w:pPr>
      <w:r>
        <w:rPr>
          <w:sz w:val="20"/>
        </w:rPr>
        <w:t xml:space="preserve">       (дата)</w:t>
      </w:r>
    </w:p>
    <w:p>
      <w:pPr>
        <w:pStyle w:val="0"/>
        <w:jc w:val="both"/>
      </w:pPr>
      <w:r>
        <w:rPr>
          <w:sz w:val="24"/>
        </w:rPr>
      </w:r>
    </w:p>
    <w:tbl>
      <w:tblPr>
        <w:tblInd w:w="0" w:type="dxa"/>
        <w:tblLayout w:type="fixed"/>
        <w:tblCellMar>
          <w:top w:w="102" w:type="dxa"/>
          <w:left w:w="62" w:type="dxa"/>
          <w:bottom w:w="102" w:type="dxa"/>
          <w:right w:w="62" w:type="dxa"/>
        </w:tblCellMar>
      </w:tblPr>
      <w:tblGrid>
        <w:gridCol w:w="2948"/>
        <w:gridCol w:w="1531"/>
        <w:gridCol w:w="360"/>
        <w:gridCol w:w="1928"/>
        <w:gridCol w:w="340"/>
        <w:gridCol w:w="1928"/>
      </w:tblGrid>
      <w:tr>
        <w:tc>
          <w:tcPr>
            <w:tcW w:w="2948" w:type="dxa"/>
            <w:vAlign w:val="bottom"/>
            <w:tcBorders>
              <w:top w:val="nil"/>
              <w:left w:val="nil"/>
              <w:bottom w:val="nil"/>
              <w:right w:val="nil"/>
            </w:tcBorders>
          </w:tcPr>
          <w:p>
            <w:pPr>
              <w:pStyle w:val="0"/>
            </w:pPr>
            <w:r>
              <w:rPr>
                <w:sz w:val="24"/>
              </w:rPr>
              <w:t xml:space="preserve">Заявитель</w:t>
            </w:r>
          </w:p>
        </w:tc>
        <w:tc>
          <w:tcPr>
            <w:tcW w:w="1531" w:type="dxa"/>
            <w:vAlign w:val="center"/>
            <w:tcBorders>
              <w:top w:val="nil"/>
              <w:left w:val="nil"/>
              <w:bottom w:val="single" w:sz="4"/>
              <w:right w:val="nil"/>
            </w:tcBorders>
          </w:tcPr>
          <w:p>
            <w:pPr>
              <w:pStyle w:val="0"/>
            </w:pPr>
            <w:r>
              <w:rPr>
                <w:sz w:val="24"/>
              </w:rPr>
            </w:r>
          </w:p>
        </w:tc>
        <w:tc>
          <w:tcPr>
            <w:tcW w:w="360" w:type="dxa"/>
            <w:vAlign w:val="center"/>
            <w:tcBorders>
              <w:top w:val="nil"/>
              <w:left w:val="nil"/>
              <w:bottom w:val="nil"/>
              <w:right w:val="nil"/>
            </w:tcBorders>
          </w:tcPr>
          <w:p>
            <w:pPr>
              <w:pStyle w:val="0"/>
            </w:pPr>
            <w:r>
              <w:rPr>
                <w:sz w:val="24"/>
              </w:rPr>
            </w:r>
          </w:p>
        </w:tc>
        <w:tc>
          <w:tcPr>
            <w:tcW w:w="1928" w:type="dxa"/>
            <w:vAlign w:val="center"/>
            <w:tcBorders>
              <w:top w:val="nil"/>
              <w:left w:val="nil"/>
              <w:bottom w:val="single" w:sz="4"/>
              <w:right w:val="nil"/>
            </w:tcBorders>
          </w:tcPr>
          <w:p>
            <w:pPr>
              <w:pStyle w:val="0"/>
            </w:pPr>
            <w:r>
              <w:rPr>
                <w:sz w:val="24"/>
              </w:rPr>
            </w:r>
          </w:p>
        </w:tc>
        <w:tc>
          <w:tcPr>
            <w:tcW w:w="340" w:type="dxa"/>
            <w:vAlign w:val="center"/>
            <w:tcBorders>
              <w:top w:val="nil"/>
              <w:left w:val="nil"/>
              <w:bottom w:val="nil"/>
              <w:right w:val="nil"/>
            </w:tcBorders>
          </w:tcPr>
          <w:p>
            <w:pPr>
              <w:pStyle w:val="0"/>
            </w:pPr>
            <w:r>
              <w:rPr>
                <w:sz w:val="24"/>
              </w:rPr>
            </w:r>
          </w:p>
        </w:tc>
        <w:tc>
          <w:tcPr>
            <w:tcW w:w="1928" w:type="dxa"/>
            <w:vAlign w:val="center"/>
            <w:tcBorders>
              <w:top w:val="nil"/>
              <w:left w:val="nil"/>
              <w:bottom w:val="single" w:sz="4"/>
              <w:right w:val="nil"/>
            </w:tcBorders>
          </w:tcPr>
          <w:p>
            <w:pPr>
              <w:pStyle w:val="0"/>
            </w:pPr>
            <w:r>
              <w:rPr>
                <w:sz w:val="24"/>
              </w:rPr>
            </w:r>
          </w:p>
        </w:tc>
      </w:tr>
      <w:tr>
        <w:tc>
          <w:tcPr>
            <w:tcW w:w="2948" w:type="dxa"/>
            <w:vAlign w:val="center"/>
            <w:tcBorders>
              <w:top w:val="nil"/>
              <w:left w:val="nil"/>
              <w:bottom w:val="nil"/>
              <w:right w:val="nil"/>
            </w:tcBorders>
          </w:tcPr>
          <w:p>
            <w:pPr>
              <w:pStyle w:val="0"/>
            </w:pPr>
            <w:r>
              <w:rPr>
                <w:sz w:val="24"/>
              </w:rPr>
            </w:r>
          </w:p>
        </w:tc>
        <w:tc>
          <w:tcPr>
            <w:tcW w:w="1531" w:type="dxa"/>
            <w:tcBorders>
              <w:top w:val="single" w:sz="4"/>
              <w:left w:val="nil"/>
              <w:bottom w:val="nil"/>
              <w:right w:val="nil"/>
            </w:tcBorders>
          </w:tcPr>
          <w:p>
            <w:pPr>
              <w:pStyle w:val="0"/>
              <w:jc w:val="center"/>
            </w:pPr>
            <w:r>
              <w:rPr>
                <w:sz w:val="24"/>
              </w:rPr>
              <w:t xml:space="preserve">(дата)</w:t>
            </w:r>
          </w:p>
        </w:tc>
        <w:tc>
          <w:tcPr>
            <w:tcW w:w="360" w:type="dxa"/>
            <w:tcBorders>
              <w:top w:val="nil"/>
              <w:left w:val="nil"/>
              <w:bottom w:val="nil"/>
              <w:right w:val="nil"/>
            </w:tcBorders>
          </w:tcPr>
          <w:p>
            <w:pPr>
              <w:pStyle w:val="0"/>
            </w:pPr>
            <w:r>
              <w:rPr>
                <w:sz w:val="24"/>
              </w:rPr>
            </w:r>
          </w:p>
        </w:tc>
        <w:tc>
          <w:tcPr>
            <w:tcW w:w="1928"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928" w:type="dxa"/>
            <w:tcBorders>
              <w:top w:val="single" w:sz="4"/>
              <w:left w:val="nil"/>
              <w:bottom w:val="nil"/>
              <w:right w:val="nil"/>
            </w:tcBorders>
          </w:tcPr>
          <w:p>
            <w:pPr>
              <w:pStyle w:val="0"/>
              <w:jc w:val="center"/>
            </w:pPr>
            <w:r>
              <w:rPr>
                <w:sz w:val="24"/>
              </w:rPr>
              <w:t xml:space="preserve">(фамилия, имя, отчество (при наличии)</w:t>
            </w:r>
          </w:p>
        </w:tc>
      </w:tr>
      <w:tr>
        <w:tc>
          <w:tcPr>
            <w:tcW w:w="2948" w:type="dxa"/>
            <w:vAlign w:val="bottom"/>
            <w:tcBorders>
              <w:top w:val="nil"/>
              <w:left w:val="nil"/>
              <w:bottom w:val="nil"/>
              <w:right w:val="nil"/>
            </w:tcBorders>
          </w:tcPr>
          <w:p>
            <w:pPr>
              <w:pStyle w:val="0"/>
            </w:pPr>
            <w:r>
              <w:rPr>
                <w:sz w:val="24"/>
              </w:rPr>
              <w:t xml:space="preserve">Ответственный за прием заявлений специалист территориального органа Фонда пенсионного и социального страхования Российской Федерации</w:t>
            </w:r>
          </w:p>
        </w:tc>
        <w:tc>
          <w:tcPr>
            <w:tcW w:w="1531" w:type="dxa"/>
            <w:tcBorders>
              <w:top w:val="nil"/>
              <w:left w:val="nil"/>
              <w:bottom w:val="single" w:sz="4"/>
              <w:right w:val="nil"/>
            </w:tcBorders>
          </w:tcPr>
          <w:p>
            <w:pPr>
              <w:pStyle w:val="0"/>
            </w:pPr>
            <w:r>
              <w:rPr>
                <w:sz w:val="24"/>
              </w:rPr>
            </w:r>
          </w:p>
        </w:tc>
        <w:tc>
          <w:tcPr>
            <w:tcW w:w="360" w:type="dxa"/>
            <w:tcBorders>
              <w:top w:val="nil"/>
              <w:left w:val="nil"/>
              <w:bottom w:val="nil"/>
              <w:right w:val="nil"/>
            </w:tcBorders>
          </w:tcPr>
          <w:p>
            <w:pPr>
              <w:pStyle w:val="0"/>
            </w:pPr>
            <w:r>
              <w:rPr>
                <w:sz w:val="24"/>
              </w:rPr>
            </w:r>
          </w:p>
        </w:tc>
        <w:tc>
          <w:tcPr>
            <w:tcW w:w="1928"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928" w:type="dxa"/>
            <w:tcBorders>
              <w:top w:val="nil"/>
              <w:left w:val="nil"/>
              <w:bottom w:val="single" w:sz="4"/>
              <w:right w:val="nil"/>
            </w:tcBorders>
          </w:tcPr>
          <w:p>
            <w:pPr>
              <w:pStyle w:val="0"/>
            </w:pPr>
            <w:r>
              <w:rPr>
                <w:sz w:val="24"/>
              </w:rPr>
            </w:r>
          </w:p>
        </w:tc>
      </w:tr>
      <w:tr>
        <w:tc>
          <w:tcPr>
            <w:tcW w:w="2948" w:type="dxa"/>
            <w:tcBorders>
              <w:top w:val="nil"/>
              <w:left w:val="nil"/>
              <w:bottom w:val="nil"/>
              <w:right w:val="nil"/>
            </w:tcBorders>
          </w:tcPr>
          <w:p>
            <w:pPr>
              <w:pStyle w:val="0"/>
            </w:pPr>
            <w:r>
              <w:rPr>
                <w:sz w:val="24"/>
              </w:rPr>
            </w:r>
          </w:p>
        </w:tc>
        <w:tc>
          <w:tcPr>
            <w:tcW w:w="1531" w:type="dxa"/>
            <w:tcBorders>
              <w:top w:val="single" w:sz="4"/>
              <w:left w:val="nil"/>
              <w:bottom w:val="nil"/>
              <w:right w:val="nil"/>
            </w:tcBorders>
          </w:tcPr>
          <w:p>
            <w:pPr>
              <w:pStyle w:val="0"/>
              <w:jc w:val="center"/>
            </w:pPr>
            <w:r>
              <w:rPr>
                <w:sz w:val="24"/>
              </w:rPr>
              <w:t xml:space="preserve">(должность)</w:t>
            </w:r>
          </w:p>
        </w:tc>
        <w:tc>
          <w:tcPr>
            <w:tcW w:w="360" w:type="dxa"/>
            <w:tcBorders>
              <w:top w:val="nil"/>
              <w:left w:val="nil"/>
              <w:bottom w:val="nil"/>
              <w:right w:val="nil"/>
            </w:tcBorders>
          </w:tcPr>
          <w:p>
            <w:pPr>
              <w:pStyle w:val="0"/>
            </w:pPr>
            <w:r>
              <w:rPr>
                <w:sz w:val="24"/>
              </w:rPr>
            </w:r>
          </w:p>
        </w:tc>
        <w:tc>
          <w:tcPr>
            <w:tcW w:w="1928" w:type="dxa"/>
            <w:tcBorders>
              <w:top w:val="single" w:sz="4"/>
              <w:left w:val="nil"/>
              <w:bottom w:val="nil"/>
              <w:right w:val="nil"/>
            </w:tcBorders>
          </w:tcPr>
          <w:p>
            <w:pPr>
              <w:pStyle w:val="0"/>
              <w:jc w:val="center"/>
            </w:pPr>
            <w:r>
              <w:rPr>
                <w:sz w:val="24"/>
              </w:rPr>
              <w:t xml:space="preserve">(фамилия, имя, отчество (при наличии)</w:t>
            </w:r>
          </w:p>
        </w:tc>
        <w:tc>
          <w:tcPr>
            <w:tcW w:w="340" w:type="dxa"/>
            <w:tcBorders>
              <w:top w:val="nil"/>
              <w:left w:val="nil"/>
              <w:bottom w:val="nil"/>
              <w:right w:val="nil"/>
            </w:tcBorders>
          </w:tcPr>
          <w:p>
            <w:pPr>
              <w:pStyle w:val="0"/>
            </w:pPr>
            <w:r>
              <w:rPr>
                <w:sz w:val="24"/>
              </w:rPr>
            </w:r>
          </w:p>
        </w:tc>
        <w:tc>
          <w:tcPr>
            <w:tcW w:w="1928" w:type="dxa"/>
            <w:tcBorders>
              <w:top w:val="single" w:sz="4"/>
              <w:left w:val="nil"/>
              <w:bottom w:val="nil"/>
              <w:right w:val="nil"/>
            </w:tcBorders>
          </w:tcPr>
          <w:p>
            <w:pPr>
              <w:pStyle w:val="0"/>
              <w:jc w:val="center"/>
            </w:pPr>
            <w:r>
              <w:rPr>
                <w:sz w:val="24"/>
              </w:rPr>
              <w:t xml:space="preserve">(подпись)</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w:t>
      </w:r>
    </w:p>
    <w:p>
      <w:pPr>
        <w:pStyle w:val="0"/>
        <w:jc w:val="right"/>
      </w:pPr>
      <w:r>
        <w:rPr>
          <w:sz w:val="24"/>
        </w:rPr>
        <w:t xml:space="preserve">к Правилам предоставления и оплаты</w:t>
      </w:r>
    </w:p>
    <w:p>
      <w:pPr>
        <w:pStyle w:val="0"/>
        <w:jc w:val="right"/>
      </w:pPr>
      <w:r>
        <w:rPr>
          <w:sz w:val="24"/>
        </w:rPr>
        <w:t xml:space="preserve">услуг по санаторно-курортному</w:t>
      </w:r>
    </w:p>
    <w:p>
      <w:pPr>
        <w:pStyle w:val="0"/>
        <w:jc w:val="right"/>
      </w:pPr>
      <w:r>
        <w:rPr>
          <w:sz w:val="24"/>
        </w:rPr>
        <w:t xml:space="preserve">лечению и медицинской реабилитации</w:t>
      </w:r>
    </w:p>
    <w:p>
      <w:pPr>
        <w:pStyle w:val="0"/>
        <w:jc w:val="right"/>
      </w:pPr>
      <w:r>
        <w:rPr>
          <w:sz w:val="24"/>
        </w:rPr>
        <w:t xml:space="preserve">лиц, указанных в части 11 статьи 7</w:t>
      </w:r>
    </w:p>
    <w:p>
      <w:pPr>
        <w:pStyle w:val="0"/>
        <w:jc w:val="right"/>
      </w:pPr>
      <w:r>
        <w:rPr>
          <w:sz w:val="24"/>
        </w:rPr>
        <w:t xml:space="preserve">Федерального закона</w:t>
      </w:r>
    </w:p>
    <w:p>
      <w:pPr>
        <w:pStyle w:val="0"/>
        <w:jc w:val="right"/>
      </w:pPr>
      <w:r>
        <w:rPr>
          <w:sz w:val="24"/>
        </w:rPr>
        <w:t xml:space="preserve">"О бюджете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 на 2026 год</w:t>
      </w:r>
    </w:p>
    <w:p>
      <w:pPr>
        <w:pStyle w:val="0"/>
        <w:jc w:val="right"/>
      </w:pPr>
      <w:r>
        <w:rPr>
          <w:sz w:val="24"/>
        </w:rPr>
        <w:t xml:space="preserve">и на плановый период 2027</w:t>
      </w:r>
    </w:p>
    <w:p>
      <w:pPr>
        <w:pStyle w:val="0"/>
        <w:jc w:val="right"/>
      </w:pPr>
      <w:r>
        <w:rPr>
          <w:sz w:val="24"/>
        </w:rPr>
        <w:t xml:space="preserve">и 2028 годов", в реабилитационных</w:t>
      </w:r>
    </w:p>
    <w:p>
      <w:pPr>
        <w:pStyle w:val="0"/>
        <w:jc w:val="right"/>
      </w:pPr>
      <w:r>
        <w:rPr>
          <w:sz w:val="24"/>
        </w:rPr>
        <w:t xml:space="preserve">центрах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w:t>
      </w:r>
    </w:p>
    <w:p>
      <w:pPr>
        <w:pStyle w:val="0"/>
        <w:jc w:val="both"/>
      </w:pPr>
      <w:r>
        <w:rPr>
          <w:sz w:val="24"/>
        </w:rPr>
      </w:r>
    </w:p>
    <w:p>
      <w:pPr>
        <w:pStyle w:val="0"/>
        <w:jc w:val="right"/>
      </w:pPr>
      <w:r>
        <w:rPr>
          <w:sz w:val="24"/>
        </w:rPr>
        <w:t xml:space="preserve">(форма)</w:t>
      </w:r>
    </w:p>
    <w:p>
      <w:pPr>
        <w:pStyle w:val="0"/>
        <w:jc w:val="right"/>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301" w:name="P301"/>
          <w:bookmarkEnd w:id="301"/>
          <w:p>
            <w:pPr>
              <w:pStyle w:val="0"/>
              <w:jc w:val="center"/>
            </w:pPr>
            <w:r>
              <w:rPr>
                <w:sz w:val="24"/>
              </w:rPr>
              <w:t xml:space="preserve">ЗАЯВЛЕНИЕ</w:t>
            </w:r>
          </w:p>
          <w:p>
            <w:pPr>
              <w:pStyle w:val="0"/>
              <w:jc w:val="center"/>
            </w:pPr>
            <w:r>
              <w:rPr>
                <w:sz w:val="24"/>
              </w:rPr>
              <w:t xml:space="preserve">о компенсации расходов на проезд к месту прохождения санаторно-курортного лечения и (или) медицинской реабилитации в реабилитационном центре Фонда пенсионного и социального страхования Российской Федерации и обратно</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40"/>
        <w:gridCol w:w="8731"/>
      </w:tblGrid>
      <w:tr>
        <w:tc>
          <w:tcPr>
            <w:tcW w:w="340" w:type="dxa"/>
            <w:vAlign w:val="bottom"/>
            <w:tcBorders>
              <w:top w:val="nil"/>
              <w:left w:val="nil"/>
              <w:bottom w:val="nil"/>
              <w:right w:val="nil"/>
            </w:tcBorders>
          </w:tcPr>
          <w:p>
            <w:pPr>
              <w:pStyle w:val="0"/>
            </w:pPr>
            <w:r>
              <w:rPr>
                <w:sz w:val="24"/>
              </w:rPr>
              <w:t xml:space="preserve">В</w:t>
            </w:r>
          </w:p>
        </w:tc>
        <w:tc>
          <w:tcPr>
            <w:tcW w:w="8731" w:type="dxa"/>
            <w:vAlign w:val="bottom"/>
            <w:tcBorders>
              <w:top w:val="nil"/>
              <w:left w:val="nil"/>
              <w:bottom w:val="single" w:sz="4"/>
              <w:right w:val="nil"/>
            </w:tcBorders>
          </w:tcPr>
          <w:p>
            <w:pPr>
              <w:pStyle w:val="0"/>
            </w:pPr>
            <w:r>
              <w:rPr>
                <w:sz w:val="24"/>
              </w:rPr>
            </w:r>
          </w:p>
        </w:tc>
      </w:tr>
      <w:tr>
        <w:tc>
          <w:tcPr>
            <w:tcW w:w="340" w:type="dxa"/>
            <w:tcBorders>
              <w:top w:val="nil"/>
              <w:left w:val="nil"/>
              <w:bottom w:val="nil"/>
              <w:right w:val="nil"/>
            </w:tcBorders>
          </w:tcPr>
          <w:p>
            <w:pPr>
              <w:pStyle w:val="0"/>
            </w:pPr>
            <w:r>
              <w:rPr>
                <w:sz w:val="24"/>
              </w:rPr>
            </w:r>
          </w:p>
        </w:tc>
        <w:tc>
          <w:tcPr>
            <w:tcW w:w="8731" w:type="dxa"/>
            <w:tcBorders>
              <w:top w:val="single" w:sz="4"/>
              <w:left w:val="nil"/>
              <w:bottom w:val="nil"/>
              <w:right w:val="nil"/>
            </w:tcBorders>
          </w:tcPr>
          <w:p>
            <w:pPr>
              <w:pStyle w:val="0"/>
              <w:jc w:val="center"/>
            </w:pPr>
            <w:r>
              <w:rPr>
                <w:sz w:val="24"/>
              </w:rPr>
              <w:t xml:space="preserve">(наименование территориального органа Фонда пенсионного и социального страхования Российской Федерации)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center"/>
            <w:tcBorders>
              <w:top w:val="nil"/>
              <w:left w:val="nil"/>
              <w:bottom w:val="nil"/>
              <w:right w:val="nil"/>
            </w:tcBorders>
          </w:tcPr>
          <w:p>
            <w:pPr>
              <w:pStyle w:val="0"/>
              <w:jc w:val="center"/>
            </w:pPr>
            <w:r>
              <w:rPr>
                <w:sz w:val="24"/>
              </w:rPr>
              <w:t xml:space="preserve">Сведения о заявителе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814"/>
        <w:gridCol w:w="271"/>
        <w:gridCol w:w="1142"/>
        <w:gridCol w:w="543"/>
        <w:gridCol w:w="693"/>
        <w:gridCol w:w="1009"/>
        <w:gridCol w:w="269"/>
        <w:gridCol w:w="2131"/>
        <w:gridCol w:w="2199"/>
      </w:tblGrid>
      <w:tr>
        <w:tblPrEx>
          <w:tblBorders>
            <w:insideH w:val="single" w:sz="4"/>
          </w:tblBorders>
        </w:tblPrEx>
        <w:tc>
          <w:tcPr>
            <w:gridSpan w:val="9"/>
            <w:tcW w:w="9071" w:type="dxa"/>
            <w:tcBorders>
              <w:top w:val="nil"/>
              <w:left w:val="nil"/>
              <w:bottom w:val="single" w:sz="4"/>
              <w:right w:val="nil"/>
            </w:tcBorders>
          </w:tcPr>
          <w:p>
            <w:pPr>
              <w:pStyle w:val="0"/>
            </w:pPr>
            <w:r>
              <w:rPr>
                <w:sz w:val="24"/>
              </w:rPr>
            </w:r>
          </w:p>
        </w:tc>
      </w:tr>
      <w:tr>
        <w:tc>
          <w:tcPr>
            <w:gridSpan w:val="9"/>
            <w:tcW w:w="9071" w:type="dxa"/>
            <w:tcBorders>
              <w:top w:val="single" w:sz="4"/>
              <w:left w:val="nil"/>
              <w:bottom w:val="nil"/>
              <w:right w:val="nil"/>
            </w:tcBorders>
          </w:tcPr>
          <w:p>
            <w:pPr>
              <w:pStyle w:val="0"/>
              <w:jc w:val="center"/>
            </w:pPr>
            <w:r>
              <w:rPr>
                <w:sz w:val="24"/>
              </w:rPr>
              <w:t xml:space="preserve">(фамилия, имя, отчество (при наличии)</w:t>
            </w:r>
          </w:p>
        </w:tc>
      </w:tr>
      <w:tr>
        <w:tc>
          <w:tcPr>
            <w:gridSpan w:val="3"/>
            <w:tcW w:w="2227" w:type="dxa"/>
            <w:vAlign w:val="bottom"/>
            <w:tcBorders>
              <w:top w:val="nil"/>
              <w:left w:val="nil"/>
              <w:bottom w:val="nil"/>
              <w:right w:val="nil"/>
            </w:tcBorders>
          </w:tcPr>
          <w:p>
            <w:pPr>
              <w:pStyle w:val="0"/>
            </w:pPr>
            <w:r>
              <w:rPr>
                <w:sz w:val="24"/>
              </w:rPr>
              <w:t xml:space="preserve">Адрес проживания</w:t>
            </w:r>
          </w:p>
        </w:tc>
        <w:tc>
          <w:tcPr>
            <w:gridSpan w:val="6"/>
            <w:tcW w:w="6844" w:type="dxa"/>
            <w:vAlign w:val="bottom"/>
            <w:tcBorders>
              <w:top w:val="nil"/>
              <w:left w:val="nil"/>
              <w:bottom w:val="single" w:sz="4"/>
              <w:right w:val="nil"/>
            </w:tcBorders>
          </w:tcPr>
          <w:p>
            <w:pPr>
              <w:pStyle w:val="0"/>
            </w:pPr>
            <w:r>
              <w:rPr>
                <w:sz w:val="24"/>
              </w:rPr>
            </w:r>
          </w:p>
        </w:tc>
      </w:tr>
      <w:tr>
        <w:tc>
          <w:tcPr>
            <w:gridSpan w:val="6"/>
            <w:tcW w:w="4472" w:type="dxa"/>
            <w:vAlign w:val="bottom"/>
            <w:tcBorders>
              <w:top w:val="nil"/>
              <w:left w:val="nil"/>
              <w:bottom w:val="nil"/>
              <w:right w:val="nil"/>
            </w:tcBorders>
          </w:tcPr>
          <w:p>
            <w:pPr>
              <w:pStyle w:val="0"/>
            </w:pPr>
            <w:r>
              <w:rPr>
                <w:sz w:val="24"/>
              </w:rPr>
              <w:t xml:space="preserve">Документ, удостоверяющий личность,</w:t>
            </w:r>
          </w:p>
        </w:tc>
        <w:tc>
          <w:tcPr>
            <w:gridSpan w:val="3"/>
            <w:tcW w:w="4599" w:type="dxa"/>
            <w:tcBorders>
              <w:top w:val="single" w:sz="4"/>
              <w:left w:val="nil"/>
              <w:bottom w:val="single" w:sz="4"/>
              <w:right w:val="nil"/>
            </w:tcBorders>
          </w:tcPr>
          <w:p>
            <w:pPr>
              <w:pStyle w:val="0"/>
            </w:pPr>
            <w:r>
              <w:rPr>
                <w:sz w:val="24"/>
              </w:rPr>
            </w:r>
          </w:p>
        </w:tc>
      </w:tr>
      <w:tr>
        <w:tc>
          <w:tcPr>
            <w:gridSpan w:val="6"/>
            <w:tcW w:w="4472" w:type="dxa"/>
            <w:tcBorders>
              <w:top w:val="nil"/>
              <w:left w:val="nil"/>
              <w:bottom w:val="nil"/>
              <w:right w:val="nil"/>
            </w:tcBorders>
          </w:tcPr>
          <w:p>
            <w:pPr>
              <w:pStyle w:val="0"/>
            </w:pPr>
            <w:r>
              <w:rPr>
                <w:sz w:val="24"/>
              </w:rPr>
            </w:r>
          </w:p>
        </w:tc>
        <w:tc>
          <w:tcPr>
            <w:gridSpan w:val="3"/>
            <w:tcW w:w="4599" w:type="dxa"/>
            <w:tcBorders>
              <w:top w:val="single" w:sz="4"/>
              <w:left w:val="nil"/>
              <w:bottom w:val="nil"/>
              <w:right w:val="nil"/>
            </w:tcBorders>
          </w:tcPr>
          <w:p>
            <w:pPr>
              <w:pStyle w:val="0"/>
              <w:jc w:val="center"/>
            </w:pPr>
            <w:r>
              <w:rPr>
                <w:sz w:val="24"/>
              </w:rPr>
              <w:t xml:space="preserve">(наименование документа)</w:t>
            </w:r>
          </w:p>
        </w:tc>
      </w:tr>
      <w:tr>
        <w:tc>
          <w:tcPr>
            <w:tcW w:w="814" w:type="dxa"/>
            <w:vAlign w:val="bottom"/>
            <w:tcBorders>
              <w:top w:val="nil"/>
              <w:left w:val="nil"/>
              <w:bottom w:val="nil"/>
              <w:right w:val="nil"/>
            </w:tcBorders>
          </w:tcPr>
          <w:p>
            <w:pPr>
              <w:pStyle w:val="0"/>
            </w:pPr>
            <w:r>
              <w:rPr>
                <w:sz w:val="24"/>
              </w:rPr>
              <w:t xml:space="preserve">серия</w:t>
            </w:r>
          </w:p>
        </w:tc>
        <w:tc>
          <w:tcPr>
            <w:gridSpan w:val="4"/>
            <w:tcW w:w="2649" w:type="dxa"/>
            <w:vAlign w:val="bottom"/>
            <w:tcBorders>
              <w:top w:val="nil"/>
              <w:left w:val="nil"/>
              <w:bottom w:val="single" w:sz="4"/>
              <w:right w:val="nil"/>
            </w:tcBorders>
          </w:tcPr>
          <w:p>
            <w:pPr>
              <w:pStyle w:val="0"/>
            </w:pPr>
            <w:r>
              <w:rPr>
                <w:sz w:val="24"/>
              </w:rPr>
            </w:r>
          </w:p>
        </w:tc>
        <w:tc>
          <w:tcPr>
            <w:tcW w:w="1009" w:type="dxa"/>
            <w:vAlign w:val="bottom"/>
            <w:tcBorders>
              <w:top w:val="nil"/>
              <w:left w:val="nil"/>
              <w:bottom w:val="nil"/>
              <w:right w:val="nil"/>
            </w:tcBorders>
          </w:tcPr>
          <w:p>
            <w:pPr>
              <w:pStyle w:val="0"/>
              <w:jc w:val="center"/>
            </w:pPr>
            <w:r>
              <w:rPr>
                <w:sz w:val="24"/>
              </w:rPr>
              <w:t xml:space="preserve">номер</w:t>
            </w:r>
          </w:p>
        </w:tc>
        <w:tc>
          <w:tcPr>
            <w:gridSpan w:val="3"/>
            <w:tcW w:w="4599" w:type="dxa"/>
            <w:vAlign w:val="bottom"/>
            <w:tcBorders>
              <w:top w:val="nil"/>
              <w:left w:val="nil"/>
              <w:bottom w:val="single" w:sz="4"/>
              <w:right w:val="nil"/>
            </w:tcBorders>
          </w:tcPr>
          <w:p>
            <w:pPr>
              <w:pStyle w:val="0"/>
            </w:pPr>
            <w:r>
              <w:rPr>
                <w:sz w:val="24"/>
              </w:rPr>
            </w:r>
          </w:p>
        </w:tc>
      </w:tr>
      <w:tr>
        <w:tc>
          <w:tcPr>
            <w:gridSpan w:val="3"/>
            <w:tcW w:w="2227" w:type="dxa"/>
            <w:vAlign w:val="bottom"/>
            <w:tcBorders>
              <w:top w:val="nil"/>
              <w:left w:val="nil"/>
              <w:bottom w:val="nil"/>
              <w:right w:val="nil"/>
            </w:tcBorders>
          </w:tcPr>
          <w:p>
            <w:pPr>
              <w:pStyle w:val="0"/>
            </w:pPr>
            <w:r>
              <w:rPr>
                <w:sz w:val="24"/>
              </w:rPr>
              <w:t xml:space="preserve">кем и когда выдан</w:t>
            </w:r>
          </w:p>
        </w:tc>
        <w:tc>
          <w:tcPr>
            <w:gridSpan w:val="6"/>
            <w:tcW w:w="6844" w:type="dxa"/>
            <w:vAlign w:val="bottom"/>
            <w:tcBorders>
              <w:top w:val="nil"/>
              <w:left w:val="nil"/>
              <w:bottom w:val="single" w:sz="4"/>
              <w:right w:val="nil"/>
            </w:tcBorders>
          </w:tcPr>
          <w:p>
            <w:pPr>
              <w:pStyle w:val="0"/>
            </w:pPr>
            <w:r>
              <w:rPr>
                <w:sz w:val="24"/>
              </w:rPr>
            </w:r>
          </w:p>
        </w:tc>
      </w:tr>
      <w:tr>
        <w:tc>
          <w:tcPr>
            <w:gridSpan w:val="4"/>
            <w:tcW w:w="2770" w:type="dxa"/>
            <w:vAlign w:val="bottom"/>
            <w:tcBorders>
              <w:top w:val="nil"/>
              <w:left w:val="nil"/>
              <w:bottom w:val="nil"/>
              <w:right w:val="nil"/>
            </w:tcBorders>
          </w:tcPr>
          <w:p>
            <w:pPr>
              <w:pStyle w:val="0"/>
            </w:pPr>
            <w:r>
              <w:rPr>
                <w:sz w:val="24"/>
              </w:rPr>
              <w:t xml:space="preserve">Дата и место рождения</w:t>
            </w:r>
          </w:p>
        </w:tc>
        <w:tc>
          <w:tcPr>
            <w:gridSpan w:val="5"/>
            <w:tcW w:w="6301" w:type="dxa"/>
            <w:vAlign w:val="bottom"/>
            <w:tcBorders>
              <w:top w:val="single" w:sz="4"/>
              <w:left w:val="nil"/>
              <w:bottom w:val="single" w:sz="4"/>
              <w:right w:val="nil"/>
            </w:tcBorders>
          </w:tcPr>
          <w:p>
            <w:pPr>
              <w:pStyle w:val="0"/>
            </w:pPr>
            <w:r>
              <w:rPr>
                <w:sz w:val="24"/>
              </w:rPr>
            </w:r>
          </w:p>
        </w:tc>
      </w:tr>
      <w:tr>
        <w:tc>
          <w:tcPr>
            <w:gridSpan w:val="8"/>
            <w:tcW w:w="6872" w:type="dxa"/>
            <w:vAlign w:val="bottom"/>
            <w:tcBorders>
              <w:top w:val="nil"/>
              <w:left w:val="nil"/>
              <w:bottom w:val="nil"/>
              <w:right w:val="nil"/>
            </w:tcBorders>
          </w:tcPr>
          <w:p>
            <w:pPr>
              <w:pStyle w:val="0"/>
            </w:pPr>
            <w:r>
              <w:rPr>
                <w:sz w:val="24"/>
              </w:rPr>
              <w:t xml:space="preserve">Страховой номер индивидуального лицевого счета (СНИЛС)</w:t>
            </w:r>
          </w:p>
        </w:tc>
        <w:tc>
          <w:tcPr>
            <w:tcW w:w="2199" w:type="dxa"/>
            <w:tcBorders>
              <w:top w:val="single" w:sz="4"/>
              <w:left w:val="nil"/>
              <w:bottom w:val="single" w:sz="4"/>
              <w:right w:val="nil"/>
            </w:tcBorders>
          </w:tcPr>
          <w:p>
            <w:pPr>
              <w:pStyle w:val="0"/>
            </w:pPr>
            <w:r>
              <w:rPr>
                <w:sz w:val="24"/>
              </w:rPr>
            </w:r>
          </w:p>
        </w:tc>
      </w:tr>
      <w:tr>
        <w:tc>
          <w:tcPr>
            <w:gridSpan w:val="2"/>
            <w:tcW w:w="1085" w:type="dxa"/>
            <w:vAlign w:val="bottom"/>
            <w:tcBorders>
              <w:top w:val="nil"/>
              <w:left w:val="nil"/>
              <w:bottom w:val="nil"/>
              <w:right w:val="nil"/>
            </w:tcBorders>
          </w:tcPr>
          <w:p>
            <w:pPr>
              <w:pStyle w:val="0"/>
            </w:pPr>
            <w:r>
              <w:rPr>
                <w:sz w:val="24"/>
              </w:rPr>
              <w:t xml:space="preserve">Телефон</w:t>
            </w:r>
          </w:p>
        </w:tc>
        <w:tc>
          <w:tcPr>
            <w:gridSpan w:val="7"/>
            <w:tcW w:w="7986" w:type="dxa"/>
            <w:vAlign w:val="bottom"/>
            <w:tcBorders>
              <w:top w:val="nil"/>
              <w:left w:val="nil"/>
              <w:bottom w:val="single" w:sz="4"/>
              <w:right w:val="nil"/>
            </w:tcBorders>
          </w:tcPr>
          <w:p>
            <w:pPr>
              <w:pStyle w:val="0"/>
            </w:pPr>
            <w:r>
              <w:rPr>
                <w:sz w:val="24"/>
              </w:rPr>
            </w:r>
          </w:p>
        </w:tc>
      </w:tr>
      <w:tr>
        <w:tc>
          <w:tcPr>
            <w:gridSpan w:val="7"/>
            <w:tcW w:w="4741" w:type="dxa"/>
            <w:vAlign w:val="bottom"/>
            <w:tcBorders>
              <w:top w:val="nil"/>
              <w:left w:val="nil"/>
              <w:bottom w:val="nil"/>
              <w:right w:val="nil"/>
            </w:tcBorders>
          </w:tcPr>
          <w:p>
            <w:pPr>
              <w:pStyle w:val="0"/>
            </w:pPr>
            <w:r>
              <w:rPr>
                <w:sz w:val="24"/>
              </w:rPr>
              <w:t xml:space="preserve">Адрес электронной почты (при наличии)</w:t>
            </w:r>
          </w:p>
        </w:tc>
        <w:tc>
          <w:tcPr>
            <w:gridSpan w:val="2"/>
            <w:tcW w:w="4330" w:type="dxa"/>
            <w:vAlign w:val="bottom"/>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Прошу осуществить компенсацию фактических расходов на проезд к месту прохождения санаторно-курортного лечения и (или) медицинской реабилитации (указать нужное)</w:t>
            </w:r>
          </w:p>
        </w:tc>
      </w:tr>
      <w:tr>
        <w:tc>
          <w:tcPr>
            <w:tcW w:w="9071" w:type="dxa"/>
            <w:tcBorders>
              <w:top w:val="nil"/>
              <w:left w:val="nil"/>
              <w:bottom w:val="nil"/>
              <w:right w:val="nil"/>
            </w:tcBorders>
          </w:tcPr>
          <w:p>
            <w:pPr>
              <w:pStyle w:val="0"/>
              <w:jc w:val="center"/>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мне </w:t>
            </w: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сопровождающему лицу </w:t>
            </w:r>
            <w:hyperlink w:history="0" w:anchor="P407" w:tooltip="&lt;*&gt; Заполняется в случае, если заявителю установлена инвалидность I группы или если нуждаемость в сопровождении для получения санаторно-курортного лечения и (или) медицинской реабилитации обусловлена медицинскими показаниями.">
              <w:r>
                <w:rPr>
                  <w:sz w:val="24"/>
                  <w:color w:val="0000ff"/>
                </w:rPr>
                <w:t xml:space="preserve">&lt;*&gt;</w:t>
              </w:r>
            </w:hyperlink>
            <w:r>
              <w:rPr>
                <w:sz w:val="24"/>
              </w:rPr>
              <w:t xml:space="preserve">:</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Сведения о сопровождающем лице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814"/>
        <w:gridCol w:w="432"/>
        <w:gridCol w:w="973"/>
        <w:gridCol w:w="1244"/>
        <w:gridCol w:w="924"/>
        <w:gridCol w:w="2585"/>
        <w:gridCol w:w="2099"/>
      </w:tblGrid>
      <w:tr>
        <w:tc>
          <w:tcPr>
            <w:gridSpan w:val="7"/>
            <w:tcW w:w="9071" w:type="dxa"/>
            <w:tcBorders>
              <w:top w:val="nil"/>
              <w:left w:val="nil"/>
              <w:bottom w:val="nil"/>
              <w:right w:val="nil"/>
            </w:tcBorders>
          </w:tcPr>
          <w:p>
            <w:pPr>
              <w:pStyle w:val="0"/>
            </w:pPr>
            <w:r>
              <w:rPr>
                <w:sz w:val="24"/>
              </w:rPr>
              <w:t xml:space="preserve">Фамилия, имя, отчество (при наличии)</w:t>
            </w:r>
          </w:p>
          <w:p>
            <w:pPr>
              <w:pStyle w:val="0"/>
            </w:pPr>
            <w:r>
              <w:rPr>
                <w:sz w:val="24"/>
              </w:rPr>
              <w:t xml:space="preserve">сопровождающего лица _____________________________________________________</w:t>
            </w:r>
          </w:p>
        </w:tc>
      </w:tr>
      <w:tr>
        <w:tc>
          <w:tcPr>
            <w:gridSpan w:val="5"/>
            <w:tcW w:w="4387" w:type="dxa"/>
            <w:vAlign w:val="bottom"/>
            <w:tcBorders>
              <w:top w:val="nil"/>
              <w:left w:val="nil"/>
              <w:bottom w:val="nil"/>
              <w:right w:val="nil"/>
            </w:tcBorders>
          </w:tcPr>
          <w:p>
            <w:pPr>
              <w:pStyle w:val="0"/>
            </w:pPr>
            <w:r>
              <w:rPr>
                <w:sz w:val="24"/>
              </w:rPr>
              <w:t xml:space="preserve">Документ, удостоверяющий личность,</w:t>
            </w:r>
          </w:p>
        </w:tc>
        <w:tc>
          <w:tcPr>
            <w:gridSpan w:val="2"/>
            <w:tcW w:w="4684" w:type="dxa"/>
            <w:tcBorders>
              <w:top w:val="nil"/>
              <w:left w:val="nil"/>
              <w:bottom w:val="single" w:sz="4"/>
              <w:right w:val="nil"/>
            </w:tcBorders>
          </w:tcPr>
          <w:p>
            <w:pPr>
              <w:pStyle w:val="0"/>
            </w:pPr>
            <w:r>
              <w:rPr>
                <w:sz w:val="24"/>
              </w:rPr>
            </w:r>
          </w:p>
        </w:tc>
      </w:tr>
      <w:tr>
        <w:tc>
          <w:tcPr>
            <w:gridSpan w:val="5"/>
            <w:tcW w:w="4387" w:type="dxa"/>
            <w:tcBorders>
              <w:top w:val="nil"/>
              <w:left w:val="nil"/>
              <w:bottom w:val="nil"/>
              <w:right w:val="nil"/>
            </w:tcBorders>
          </w:tcPr>
          <w:p>
            <w:pPr>
              <w:pStyle w:val="0"/>
            </w:pPr>
            <w:r>
              <w:rPr>
                <w:sz w:val="24"/>
              </w:rPr>
            </w:r>
          </w:p>
        </w:tc>
        <w:tc>
          <w:tcPr>
            <w:gridSpan w:val="2"/>
            <w:tcW w:w="4684" w:type="dxa"/>
            <w:tcBorders>
              <w:top w:val="single" w:sz="4"/>
              <w:left w:val="nil"/>
              <w:bottom w:val="nil"/>
              <w:right w:val="nil"/>
            </w:tcBorders>
          </w:tcPr>
          <w:p>
            <w:pPr>
              <w:pStyle w:val="0"/>
              <w:jc w:val="center"/>
            </w:pPr>
            <w:r>
              <w:rPr>
                <w:sz w:val="24"/>
              </w:rPr>
              <w:t xml:space="preserve">(наименование документа)</w:t>
            </w:r>
          </w:p>
        </w:tc>
      </w:tr>
      <w:tr>
        <w:tc>
          <w:tcPr>
            <w:tcW w:w="814" w:type="dxa"/>
            <w:vAlign w:val="bottom"/>
            <w:tcBorders>
              <w:top w:val="nil"/>
              <w:left w:val="nil"/>
              <w:bottom w:val="nil"/>
              <w:right w:val="nil"/>
            </w:tcBorders>
          </w:tcPr>
          <w:p>
            <w:pPr>
              <w:pStyle w:val="0"/>
            </w:pPr>
            <w:r>
              <w:rPr>
                <w:sz w:val="24"/>
              </w:rPr>
              <w:t xml:space="preserve">серия</w:t>
            </w:r>
          </w:p>
        </w:tc>
        <w:tc>
          <w:tcPr>
            <w:gridSpan w:val="3"/>
            <w:tcW w:w="2649" w:type="dxa"/>
            <w:vAlign w:val="bottom"/>
            <w:tcBorders>
              <w:top w:val="nil"/>
              <w:left w:val="nil"/>
              <w:bottom w:val="single" w:sz="4"/>
              <w:right w:val="nil"/>
            </w:tcBorders>
          </w:tcPr>
          <w:p>
            <w:pPr>
              <w:pStyle w:val="0"/>
            </w:pPr>
            <w:r>
              <w:rPr>
                <w:sz w:val="24"/>
              </w:rPr>
            </w:r>
          </w:p>
        </w:tc>
        <w:tc>
          <w:tcPr>
            <w:tcW w:w="924" w:type="dxa"/>
            <w:vAlign w:val="bottom"/>
            <w:tcBorders>
              <w:top w:val="nil"/>
              <w:left w:val="nil"/>
              <w:bottom w:val="nil"/>
              <w:right w:val="nil"/>
            </w:tcBorders>
          </w:tcPr>
          <w:p>
            <w:pPr>
              <w:pStyle w:val="0"/>
              <w:jc w:val="center"/>
            </w:pPr>
            <w:r>
              <w:rPr>
                <w:sz w:val="24"/>
              </w:rPr>
              <w:t xml:space="preserve">номер</w:t>
            </w:r>
          </w:p>
        </w:tc>
        <w:tc>
          <w:tcPr>
            <w:gridSpan w:val="2"/>
            <w:tcW w:w="4684" w:type="dxa"/>
            <w:vAlign w:val="bottom"/>
            <w:tcBorders>
              <w:top w:val="nil"/>
              <w:left w:val="nil"/>
              <w:bottom w:val="single" w:sz="4"/>
              <w:right w:val="nil"/>
            </w:tcBorders>
          </w:tcPr>
          <w:p>
            <w:pPr>
              <w:pStyle w:val="0"/>
            </w:pPr>
            <w:r>
              <w:rPr>
                <w:sz w:val="24"/>
              </w:rPr>
            </w:r>
          </w:p>
        </w:tc>
      </w:tr>
      <w:tr>
        <w:tc>
          <w:tcPr>
            <w:gridSpan w:val="3"/>
            <w:tcW w:w="2219" w:type="dxa"/>
            <w:vAlign w:val="bottom"/>
            <w:tcBorders>
              <w:top w:val="nil"/>
              <w:left w:val="nil"/>
              <w:bottom w:val="nil"/>
              <w:right w:val="nil"/>
            </w:tcBorders>
          </w:tcPr>
          <w:p>
            <w:pPr>
              <w:pStyle w:val="0"/>
            </w:pPr>
            <w:r>
              <w:rPr>
                <w:sz w:val="24"/>
              </w:rPr>
              <w:t xml:space="preserve">кем и когда выдан</w:t>
            </w:r>
          </w:p>
        </w:tc>
        <w:tc>
          <w:tcPr>
            <w:gridSpan w:val="4"/>
            <w:tcW w:w="6852" w:type="dxa"/>
            <w:vAlign w:val="bottom"/>
            <w:tcBorders>
              <w:top w:val="nil"/>
              <w:left w:val="nil"/>
              <w:bottom w:val="single" w:sz="4"/>
              <w:right w:val="nil"/>
            </w:tcBorders>
          </w:tcPr>
          <w:p>
            <w:pPr>
              <w:pStyle w:val="0"/>
            </w:pPr>
            <w:r>
              <w:rPr>
                <w:sz w:val="24"/>
              </w:rPr>
            </w:r>
          </w:p>
        </w:tc>
      </w:tr>
      <w:tr>
        <w:tc>
          <w:tcPr>
            <w:gridSpan w:val="6"/>
            <w:tcW w:w="6972" w:type="dxa"/>
            <w:vAlign w:val="bottom"/>
            <w:tcBorders>
              <w:top w:val="nil"/>
              <w:left w:val="nil"/>
              <w:bottom w:val="nil"/>
              <w:right w:val="nil"/>
            </w:tcBorders>
          </w:tcPr>
          <w:p>
            <w:pPr>
              <w:pStyle w:val="0"/>
            </w:pPr>
            <w:r>
              <w:rPr>
                <w:sz w:val="24"/>
              </w:rPr>
              <w:t xml:space="preserve">Страховой номер индивидуального лицевого счета (СНИЛС)</w:t>
            </w:r>
          </w:p>
        </w:tc>
        <w:tc>
          <w:tcPr>
            <w:tcW w:w="2099" w:type="dxa"/>
            <w:tcBorders>
              <w:top w:val="single" w:sz="4"/>
              <w:left w:val="nil"/>
              <w:bottom w:val="single" w:sz="4"/>
              <w:right w:val="nil"/>
            </w:tcBorders>
          </w:tcPr>
          <w:p>
            <w:pPr>
              <w:pStyle w:val="0"/>
            </w:pPr>
            <w:r>
              <w:rPr>
                <w:sz w:val="24"/>
              </w:rPr>
            </w:r>
          </w:p>
        </w:tc>
      </w:tr>
      <w:tr>
        <w:tc>
          <w:tcPr>
            <w:gridSpan w:val="2"/>
            <w:tcW w:w="1246" w:type="dxa"/>
            <w:vAlign w:val="bottom"/>
            <w:tcBorders>
              <w:top w:val="nil"/>
              <w:left w:val="nil"/>
              <w:bottom w:val="nil"/>
              <w:right w:val="nil"/>
            </w:tcBorders>
          </w:tcPr>
          <w:p>
            <w:pPr>
              <w:pStyle w:val="0"/>
            </w:pPr>
            <w:r>
              <w:rPr>
                <w:sz w:val="24"/>
              </w:rPr>
              <w:t xml:space="preserve">Телефон</w:t>
            </w:r>
          </w:p>
        </w:tc>
        <w:tc>
          <w:tcPr>
            <w:gridSpan w:val="5"/>
            <w:tcW w:w="7825" w:type="dxa"/>
            <w:vAlign w:val="bottom"/>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40"/>
        <w:gridCol w:w="5629"/>
        <w:gridCol w:w="3105"/>
      </w:tblGrid>
      <w:tr>
        <w:tc>
          <w:tcPr>
            <w:gridSpan w:val="3"/>
            <w:tcW w:w="9074" w:type="dxa"/>
            <w:tcBorders>
              <w:top w:val="nil"/>
              <w:left w:val="nil"/>
              <w:bottom w:val="nil"/>
              <w:right w:val="nil"/>
            </w:tcBorders>
          </w:tcPr>
          <w:p>
            <w:pPr>
              <w:pStyle w:val="0"/>
              <w:ind w:firstLine="283"/>
              <w:jc w:val="both"/>
            </w:pPr>
            <w:r>
              <w:rPr>
                <w:sz w:val="24"/>
              </w:rPr>
              <w:t xml:space="preserve">Выплату денежных средств (компенсацию) прошу осуществить:</w:t>
            </w:r>
          </w:p>
        </w:tc>
      </w:tr>
      <w:tr>
        <w:tc>
          <w:tcPr>
            <w:gridSpan w:val="2"/>
            <w:tcW w:w="5969" w:type="dxa"/>
            <w:tcBorders>
              <w:top w:val="nil"/>
              <w:left w:val="nil"/>
              <w:bottom w:val="nil"/>
              <w:right w:val="nil"/>
            </w:tcBorders>
          </w:tcPr>
          <w:p>
            <w:pPr>
              <w:pStyle w:val="0"/>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через кредитную организацию на лицевой счет N</w:t>
            </w:r>
          </w:p>
        </w:tc>
        <w:tc>
          <w:tcPr>
            <w:tcW w:w="3105" w:type="dxa"/>
            <w:tcBorders>
              <w:top w:val="nil"/>
              <w:left w:val="nil"/>
              <w:bottom w:val="single" w:sz="4"/>
              <w:right w:val="nil"/>
            </w:tcBorders>
          </w:tcPr>
          <w:p>
            <w:pPr>
              <w:pStyle w:val="0"/>
            </w:pPr>
            <w:r>
              <w:rPr>
                <w:sz w:val="24"/>
              </w:rPr>
            </w:r>
          </w:p>
        </w:tc>
      </w:tr>
      <w:tr>
        <w:tc>
          <w:tcPr>
            <w:tcW w:w="340" w:type="dxa"/>
            <w:vAlign w:val="bottom"/>
            <w:tcBorders>
              <w:top w:val="nil"/>
              <w:left w:val="nil"/>
              <w:bottom w:val="nil"/>
              <w:right w:val="nil"/>
            </w:tcBorders>
          </w:tcPr>
          <w:p>
            <w:pPr>
              <w:pStyle w:val="0"/>
            </w:pPr>
            <w:r>
              <w:rPr>
                <w:sz w:val="24"/>
              </w:rPr>
              <w:t xml:space="preserve">в</w:t>
            </w:r>
          </w:p>
        </w:tc>
        <w:tc>
          <w:tcPr>
            <w:gridSpan w:val="2"/>
            <w:tcW w:w="8734" w:type="dxa"/>
            <w:tcBorders>
              <w:top w:val="nil"/>
              <w:left w:val="nil"/>
              <w:bottom w:val="single" w:sz="4"/>
              <w:right w:val="nil"/>
            </w:tcBorders>
          </w:tcPr>
          <w:p>
            <w:pPr>
              <w:pStyle w:val="0"/>
            </w:pPr>
            <w:r>
              <w:rPr>
                <w:sz w:val="24"/>
              </w:rPr>
            </w:r>
          </w:p>
        </w:tc>
      </w:tr>
      <w:tr>
        <w:tc>
          <w:tcPr>
            <w:tcW w:w="340" w:type="dxa"/>
            <w:tcBorders>
              <w:top w:val="nil"/>
              <w:left w:val="nil"/>
              <w:bottom w:val="nil"/>
              <w:right w:val="nil"/>
            </w:tcBorders>
          </w:tcPr>
          <w:p>
            <w:pPr>
              <w:pStyle w:val="0"/>
            </w:pPr>
            <w:r>
              <w:rPr>
                <w:sz w:val="24"/>
              </w:rPr>
            </w:r>
          </w:p>
        </w:tc>
        <w:tc>
          <w:tcPr>
            <w:gridSpan w:val="2"/>
            <w:tcW w:w="8734" w:type="dxa"/>
            <w:tcBorders>
              <w:top w:val="single" w:sz="4"/>
              <w:left w:val="nil"/>
              <w:bottom w:val="nil"/>
              <w:right w:val="nil"/>
            </w:tcBorders>
          </w:tcPr>
          <w:p>
            <w:pPr>
              <w:pStyle w:val="0"/>
              <w:jc w:val="center"/>
            </w:pPr>
            <w:r>
              <w:rPr>
                <w:sz w:val="24"/>
              </w:rPr>
              <w:t xml:space="preserve">(БИК, наименование банка, кредитной организации)</w:t>
            </w:r>
          </w:p>
        </w:tc>
      </w:tr>
      <w:tr>
        <w:tc>
          <w:tcPr>
            <w:gridSpan w:val="3"/>
            <w:tcW w:w="9074" w:type="dxa"/>
            <w:tcBorders>
              <w:top w:val="nil"/>
              <w:left w:val="nil"/>
              <w:bottom w:val="nil"/>
              <w:right w:val="nil"/>
            </w:tcBorders>
          </w:tcPr>
          <w:p>
            <w:pPr>
              <w:pStyle w:val="0"/>
              <w:ind w:firstLine="283"/>
              <w:jc w:val="both"/>
            </w:pPr>
            <w:r>
              <w:rPr>
                <w:sz w:val="24"/>
              </w:rPr>
              <w:t xml:space="preserve">Выплату денежных средств (компенсацию) сопровождающему лицу прошу осуществить:</w:t>
            </w:r>
          </w:p>
        </w:tc>
      </w:tr>
      <w:tr>
        <w:tc>
          <w:tcPr>
            <w:gridSpan w:val="2"/>
            <w:tcW w:w="5969" w:type="dxa"/>
            <w:tcBorders>
              <w:top w:val="nil"/>
              <w:left w:val="nil"/>
              <w:bottom w:val="nil"/>
              <w:right w:val="nil"/>
            </w:tcBorders>
          </w:tcPr>
          <w:p>
            <w:pPr>
              <w:pStyle w:val="0"/>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через кредитную организацию на лицевой счет N</w:t>
            </w:r>
          </w:p>
        </w:tc>
        <w:tc>
          <w:tcPr>
            <w:tcW w:w="3105" w:type="dxa"/>
            <w:tcBorders>
              <w:top w:val="nil"/>
              <w:left w:val="nil"/>
              <w:bottom w:val="single" w:sz="4"/>
              <w:right w:val="nil"/>
            </w:tcBorders>
          </w:tcPr>
          <w:p>
            <w:pPr>
              <w:pStyle w:val="0"/>
            </w:pPr>
            <w:r>
              <w:rPr>
                <w:sz w:val="24"/>
              </w:rPr>
            </w:r>
          </w:p>
        </w:tc>
      </w:tr>
      <w:tr>
        <w:tc>
          <w:tcPr>
            <w:tcW w:w="340" w:type="dxa"/>
            <w:vAlign w:val="bottom"/>
            <w:tcBorders>
              <w:top w:val="nil"/>
              <w:left w:val="nil"/>
              <w:bottom w:val="nil"/>
              <w:right w:val="nil"/>
            </w:tcBorders>
          </w:tcPr>
          <w:p>
            <w:pPr>
              <w:pStyle w:val="0"/>
            </w:pPr>
            <w:r>
              <w:rPr>
                <w:sz w:val="24"/>
              </w:rPr>
              <w:t xml:space="preserve">в</w:t>
            </w:r>
          </w:p>
        </w:tc>
        <w:tc>
          <w:tcPr>
            <w:gridSpan w:val="2"/>
            <w:tcW w:w="8734" w:type="dxa"/>
            <w:tcBorders>
              <w:top w:val="nil"/>
              <w:left w:val="nil"/>
              <w:bottom w:val="single" w:sz="4"/>
              <w:right w:val="nil"/>
            </w:tcBorders>
          </w:tcPr>
          <w:p>
            <w:pPr>
              <w:pStyle w:val="0"/>
            </w:pPr>
            <w:r>
              <w:rPr>
                <w:sz w:val="24"/>
              </w:rPr>
            </w:r>
          </w:p>
        </w:tc>
      </w:tr>
      <w:tr>
        <w:tc>
          <w:tcPr>
            <w:tcW w:w="340" w:type="dxa"/>
            <w:tcBorders>
              <w:top w:val="nil"/>
              <w:left w:val="nil"/>
              <w:bottom w:val="nil"/>
              <w:right w:val="nil"/>
            </w:tcBorders>
          </w:tcPr>
          <w:p>
            <w:pPr>
              <w:pStyle w:val="0"/>
            </w:pPr>
            <w:r>
              <w:rPr>
                <w:sz w:val="24"/>
              </w:rPr>
            </w:r>
          </w:p>
        </w:tc>
        <w:tc>
          <w:tcPr>
            <w:gridSpan w:val="2"/>
            <w:tcW w:w="8734" w:type="dxa"/>
            <w:tcBorders>
              <w:top w:val="single" w:sz="4"/>
              <w:left w:val="nil"/>
              <w:bottom w:val="nil"/>
              <w:right w:val="nil"/>
            </w:tcBorders>
          </w:tcPr>
          <w:p>
            <w:pPr>
              <w:pStyle w:val="0"/>
              <w:jc w:val="center"/>
            </w:pPr>
            <w:r>
              <w:rPr>
                <w:sz w:val="24"/>
              </w:rPr>
              <w:t xml:space="preserve">(БИК, наименование банка, кредитной организации)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Проездные документы прилагаю:</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01"/>
        <w:gridCol w:w="5102"/>
        <w:gridCol w:w="3231"/>
      </w:tblGrid>
      <w:tr>
        <w:tc>
          <w:tcPr>
            <w:tcW w:w="701" w:type="dxa"/>
          </w:tcPr>
          <w:p>
            <w:pPr>
              <w:pStyle w:val="0"/>
              <w:jc w:val="center"/>
            </w:pPr>
            <w:r>
              <w:rPr>
                <w:sz w:val="24"/>
              </w:rPr>
              <w:t xml:space="preserve">N п/п</w:t>
            </w:r>
          </w:p>
        </w:tc>
        <w:tc>
          <w:tcPr>
            <w:tcW w:w="5102" w:type="dxa"/>
          </w:tcPr>
          <w:p>
            <w:pPr>
              <w:pStyle w:val="0"/>
              <w:jc w:val="center"/>
            </w:pPr>
            <w:r>
              <w:rPr>
                <w:sz w:val="24"/>
              </w:rPr>
              <w:t xml:space="preserve">Наименование проездного документа</w:t>
            </w:r>
          </w:p>
        </w:tc>
        <w:tc>
          <w:tcPr>
            <w:tcW w:w="3231" w:type="dxa"/>
          </w:tcPr>
          <w:p>
            <w:pPr>
              <w:pStyle w:val="0"/>
              <w:jc w:val="center"/>
            </w:pPr>
            <w:r>
              <w:rPr>
                <w:sz w:val="24"/>
              </w:rPr>
              <w:t xml:space="preserve">Количество проездных документов</w:t>
            </w:r>
          </w:p>
        </w:tc>
      </w:tr>
      <w:tr>
        <w:tc>
          <w:tcPr>
            <w:tcW w:w="701" w:type="dxa"/>
          </w:tcPr>
          <w:p>
            <w:pPr>
              <w:pStyle w:val="0"/>
            </w:pPr>
            <w:r>
              <w:rPr>
                <w:sz w:val="24"/>
              </w:rPr>
            </w:r>
          </w:p>
        </w:tc>
        <w:tc>
          <w:tcPr>
            <w:tcW w:w="5102" w:type="dxa"/>
          </w:tcPr>
          <w:p>
            <w:pPr>
              <w:pStyle w:val="0"/>
            </w:pPr>
            <w:r>
              <w:rPr>
                <w:sz w:val="24"/>
              </w:rPr>
            </w:r>
          </w:p>
        </w:tc>
        <w:tc>
          <w:tcPr>
            <w:tcW w:w="3231" w:type="dxa"/>
          </w:tcPr>
          <w:p>
            <w:pPr>
              <w:pStyle w:val="0"/>
            </w:pPr>
            <w:r>
              <w:rPr>
                <w:sz w:val="24"/>
              </w:rPr>
            </w:r>
          </w:p>
        </w:tc>
      </w:tr>
      <w:tr>
        <w:tc>
          <w:tcPr>
            <w:tcW w:w="701" w:type="dxa"/>
          </w:tcPr>
          <w:p>
            <w:pPr>
              <w:pStyle w:val="0"/>
            </w:pPr>
            <w:r>
              <w:rPr>
                <w:sz w:val="24"/>
              </w:rPr>
            </w:r>
          </w:p>
        </w:tc>
        <w:tc>
          <w:tcPr>
            <w:tcW w:w="5102" w:type="dxa"/>
          </w:tcPr>
          <w:p>
            <w:pPr>
              <w:pStyle w:val="0"/>
            </w:pPr>
            <w:r>
              <w:rPr>
                <w:sz w:val="24"/>
              </w:rPr>
            </w:r>
          </w:p>
        </w:tc>
        <w:tc>
          <w:tcPr>
            <w:tcW w:w="3231" w:type="dxa"/>
          </w:tcPr>
          <w:p>
            <w:pPr>
              <w:pStyle w:val="0"/>
            </w:pPr>
            <w:r>
              <w:rPr>
                <w:sz w:val="24"/>
              </w:rPr>
            </w:r>
          </w:p>
        </w:tc>
      </w:tr>
      <w:tr>
        <w:tc>
          <w:tcPr>
            <w:tcW w:w="701" w:type="dxa"/>
          </w:tcPr>
          <w:p>
            <w:pPr>
              <w:pStyle w:val="0"/>
            </w:pPr>
            <w:r>
              <w:rPr>
                <w:sz w:val="24"/>
              </w:rPr>
            </w:r>
          </w:p>
        </w:tc>
        <w:tc>
          <w:tcPr>
            <w:tcW w:w="5102" w:type="dxa"/>
          </w:tcPr>
          <w:p>
            <w:pPr>
              <w:pStyle w:val="0"/>
            </w:pPr>
            <w:r>
              <w:rPr>
                <w:sz w:val="24"/>
              </w:rPr>
            </w:r>
          </w:p>
        </w:tc>
        <w:tc>
          <w:tcPr>
            <w:tcW w:w="3231" w:type="dxa"/>
          </w:tcPr>
          <w:p>
            <w:pPr>
              <w:pStyle w:val="0"/>
            </w:pPr>
            <w:r>
              <w:rPr>
                <w:sz w:val="24"/>
              </w:rPr>
            </w:r>
          </w:p>
        </w:tc>
      </w:tr>
      <w:tr>
        <w:tc>
          <w:tcPr>
            <w:tcW w:w="701" w:type="dxa"/>
          </w:tcPr>
          <w:p>
            <w:pPr>
              <w:pStyle w:val="0"/>
            </w:pPr>
            <w:r>
              <w:rPr>
                <w:sz w:val="24"/>
              </w:rPr>
            </w:r>
          </w:p>
        </w:tc>
        <w:tc>
          <w:tcPr>
            <w:tcW w:w="5102" w:type="dxa"/>
          </w:tcPr>
          <w:p>
            <w:pPr>
              <w:pStyle w:val="0"/>
            </w:pPr>
            <w:r>
              <w:rPr>
                <w:sz w:val="24"/>
              </w:rPr>
            </w:r>
          </w:p>
        </w:tc>
        <w:tc>
          <w:tcPr>
            <w:tcW w:w="3231" w:type="dxa"/>
          </w:tcPr>
          <w:p>
            <w:pPr>
              <w:pStyle w:val="0"/>
            </w:pPr>
            <w:r>
              <w:rPr>
                <w:sz w:val="24"/>
              </w:rPr>
            </w:r>
          </w:p>
        </w:tc>
      </w:tr>
      <w:tr>
        <w:tc>
          <w:tcPr>
            <w:tcW w:w="701" w:type="dxa"/>
          </w:tcPr>
          <w:p>
            <w:pPr>
              <w:pStyle w:val="0"/>
            </w:pPr>
            <w:r>
              <w:rPr>
                <w:sz w:val="24"/>
              </w:rPr>
            </w:r>
          </w:p>
        </w:tc>
        <w:tc>
          <w:tcPr>
            <w:tcW w:w="5102" w:type="dxa"/>
          </w:tcPr>
          <w:p>
            <w:pPr>
              <w:pStyle w:val="0"/>
            </w:pPr>
            <w:r>
              <w:rPr>
                <w:sz w:val="24"/>
              </w:rPr>
            </w:r>
          </w:p>
        </w:tc>
        <w:tc>
          <w:tcPr>
            <w:tcW w:w="3231"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vAlign w:val="center"/>
            <w:tcBorders>
              <w:top w:val="nil"/>
              <w:left w:val="nil"/>
              <w:bottom w:val="nil"/>
              <w:right w:val="nil"/>
            </w:tcBorders>
          </w:tcPr>
          <w:p>
            <w:pPr>
              <w:pStyle w:val="0"/>
              <w:ind w:firstLine="283"/>
              <w:jc w:val="both"/>
            </w:pPr>
            <w:r>
              <w:rPr>
                <w:sz w:val="24"/>
              </w:rPr>
              <w:t xml:space="preserve">Прошу сообщить о принятом решении на адрес электронной почты или иным способом (указать нужное) (в случае подачи заявления на бумажном носителе).</w:t>
            </w:r>
          </w:p>
          <w:p>
            <w:pPr>
              <w:pStyle w:val="0"/>
              <w:ind w:firstLine="283"/>
              <w:jc w:val="both"/>
            </w:pPr>
            <w:r>
              <w:rPr>
                <w:sz w:val="24"/>
              </w:rPr>
              <w:t xml:space="preserve">Предпочтительный способ информирования о принятом решении: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67"/>
        <w:gridCol w:w="3005"/>
        <w:gridCol w:w="737"/>
        <w:gridCol w:w="4181"/>
        <w:gridCol w:w="567"/>
      </w:tblGrid>
      <w:tr>
        <w:tc>
          <w:tcPr>
            <w:tcW w:w="567" w:type="dxa"/>
            <w:tcBorders>
              <w:top w:val="nil"/>
              <w:left w:val="nil"/>
              <w:bottom w:val="nil"/>
              <w:right w:val="nil"/>
            </w:tcBorders>
          </w:tcPr>
          <w:p>
            <w:pPr>
              <w:pStyle w:val="0"/>
            </w:pPr>
            <w:r>
              <w:rPr>
                <w:sz w:val="24"/>
              </w:rPr>
            </w:r>
          </w:p>
        </w:tc>
        <w:tc>
          <w:tcPr>
            <w:tcW w:w="3005" w:type="dxa"/>
            <w:tcBorders>
              <w:top w:val="nil"/>
              <w:left w:val="nil"/>
              <w:bottom w:val="single" w:sz="4"/>
              <w:right w:val="nil"/>
            </w:tcBorders>
          </w:tcPr>
          <w:p>
            <w:pPr>
              <w:pStyle w:val="0"/>
            </w:pPr>
            <w:r>
              <w:rPr>
                <w:sz w:val="24"/>
              </w:rPr>
            </w:r>
          </w:p>
        </w:tc>
        <w:tc>
          <w:tcPr>
            <w:tcW w:w="737" w:type="dxa"/>
            <w:tcBorders>
              <w:top w:val="nil"/>
              <w:left w:val="nil"/>
              <w:bottom w:val="nil"/>
              <w:right w:val="nil"/>
            </w:tcBorders>
          </w:tcPr>
          <w:p>
            <w:pPr>
              <w:pStyle w:val="0"/>
            </w:pPr>
            <w:r>
              <w:rPr>
                <w:sz w:val="24"/>
              </w:rPr>
            </w:r>
          </w:p>
        </w:tc>
        <w:tc>
          <w:tcPr>
            <w:tcW w:w="4181" w:type="dxa"/>
            <w:tcBorders>
              <w:top w:val="nil"/>
              <w:left w:val="nil"/>
              <w:bottom w:val="single" w:sz="4"/>
              <w:right w:val="nil"/>
            </w:tcBorders>
          </w:tcPr>
          <w:p>
            <w:pPr>
              <w:pStyle w:val="0"/>
            </w:pPr>
            <w:r>
              <w:rPr>
                <w:sz w:val="24"/>
              </w:rPr>
            </w:r>
          </w:p>
        </w:tc>
        <w:tc>
          <w:tcPr>
            <w:tcW w:w="567" w:type="dxa"/>
            <w:tcBorders>
              <w:top w:val="nil"/>
              <w:left w:val="nil"/>
              <w:bottom w:val="nil"/>
              <w:right w:val="nil"/>
            </w:tcBorders>
          </w:tcPr>
          <w:p>
            <w:pPr>
              <w:pStyle w:val="0"/>
            </w:pPr>
            <w:r>
              <w:rPr>
                <w:sz w:val="24"/>
              </w:rPr>
            </w:r>
          </w:p>
        </w:tc>
      </w:tr>
      <w:tr>
        <w:tc>
          <w:tcPr>
            <w:tcW w:w="567" w:type="dxa"/>
            <w:tcBorders>
              <w:top w:val="nil"/>
              <w:left w:val="nil"/>
              <w:bottom w:val="nil"/>
              <w:right w:val="nil"/>
            </w:tcBorders>
          </w:tcPr>
          <w:p>
            <w:pPr>
              <w:pStyle w:val="0"/>
            </w:pPr>
            <w:r>
              <w:rPr>
                <w:sz w:val="24"/>
              </w:rPr>
            </w:r>
          </w:p>
        </w:tc>
        <w:tc>
          <w:tcPr>
            <w:tcW w:w="3005" w:type="dxa"/>
            <w:tcBorders>
              <w:top w:val="single" w:sz="4"/>
              <w:left w:val="nil"/>
              <w:bottom w:val="nil"/>
              <w:right w:val="nil"/>
            </w:tcBorders>
          </w:tcPr>
          <w:p>
            <w:pPr>
              <w:pStyle w:val="0"/>
              <w:jc w:val="center"/>
            </w:pPr>
            <w:r>
              <w:rPr>
                <w:sz w:val="24"/>
              </w:rPr>
              <w:t xml:space="preserve">(дата)</w:t>
            </w:r>
          </w:p>
        </w:tc>
        <w:tc>
          <w:tcPr>
            <w:tcW w:w="737" w:type="dxa"/>
            <w:tcBorders>
              <w:top w:val="nil"/>
              <w:left w:val="nil"/>
              <w:bottom w:val="nil"/>
              <w:right w:val="nil"/>
            </w:tcBorders>
          </w:tcPr>
          <w:p>
            <w:pPr>
              <w:pStyle w:val="0"/>
            </w:pPr>
            <w:r>
              <w:rPr>
                <w:sz w:val="24"/>
              </w:rPr>
            </w:r>
          </w:p>
        </w:tc>
        <w:tc>
          <w:tcPr>
            <w:tcW w:w="4181" w:type="dxa"/>
            <w:tcBorders>
              <w:top w:val="single" w:sz="4"/>
              <w:left w:val="nil"/>
              <w:bottom w:val="nil"/>
              <w:right w:val="nil"/>
            </w:tcBorders>
          </w:tcPr>
          <w:p>
            <w:pPr>
              <w:pStyle w:val="0"/>
              <w:jc w:val="center"/>
            </w:pPr>
            <w:r>
              <w:rPr>
                <w:sz w:val="24"/>
              </w:rPr>
              <w:t xml:space="preserve">(подпись заявителя)</w:t>
            </w:r>
          </w:p>
        </w:tc>
        <w:tc>
          <w:tcPr>
            <w:tcW w:w="567" w:type="dxa"/>
            <w:tcBorders>
              <w:top w:val="nil"/>
              <w:left w:val="nil"/>
              <w:bottom w:val="nil"/>
              <w:right w:val="nil"/>
            </w:tcBorders>
          </w:tcPr>
          <w:p>
            <w:pPr>
              <w:pStyle w:val="0"/>
            </w:pPr>
            <w:r>
              <w:rPr>
                <w:sz w:val="24"/>
              </w:rPr>
            </w:r>
          </w:p>
        </w:tc>
      </w:tr>
    </w:tbl>
    <w:p>
      <w:pPr>
        <w:pStyle w:val="0"/>
        <w:jc w:val="both"/>
      </w:pPr>
      <w:r>
        <w:rPr>
          <w:sz w:val="24"/>
        </w:rPr>
      </w:r>
    </w:p>
    <w:p>
      <w:pPr>
        <w:pStyle w:val="0"/>
        <w:ind w:firstLine="540"/>
        <w:jc w:val="both"/>
      </w:pPr>
      <w:r>
        <w:rPr>
          <w:sz w:val="24"/>
        </w:rPr>
        <w:t xml:space="preserve">--------------------------------</w:t>
      </w:r>
    </w:p>
    <w:bookmarkStart w:id="407" w:name="P407"/>
    <w:bookmarkEnd w:id="407"/>
    <w:p>
      <w:pPr>
        <w:pStyle w:val="0"/>
        <w:spacing w:before="240" w:lineRule="auto"/>
        <w:ind w:firstLine="540"/>
        <w:jc w:val="both"/>
      </w:pPr>
      <w:r>
        <w:rPr>
          <w:sz w:val="24"/>
        </w:rPr>
        <w:t xml:space="preserve">&lt;*&gt; Заполняется в случае, если заявителю установлена инвалидность I группы или если нуждаемость в сопровождении для получения санаторно-курортного лечения и (или) медицинской реабилитации обусловлена медицинскими показаниями.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25.12.2025 N 2121</w:t>
            <w:br/>
            <w:t>"Об утверждении Правил предоставления и оплаты услуг по санаторно-ку...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0029&amp;date=29.12.2025&amp;dst=100066&amp;field=134&amp;demo=2" TargetMode = "External"/><Relationship Id="rId9" Type="http://schemas.openxmlformats.org/officeDocument/2006/relationships/hyperlink" Target="https://login.consultant.ru/link/?req=doc&amp;base=LAW&amp;n=495324&amp;date=29.12.2025&amp;dst=100054&amp;field=134&amp;demo=2" TargetMode = "External"/><Relationship Id="rId10" Type="http://schemas.openxmlformats.org/officeDocument/2006/relationships/hyperlink" Target="https://login.consultant.ru/link/?req=doc&amp;base=LAW&amp;n=521648&amp;date=29.12.2025&amp;dst=1187&amp;field=134&amp;demo=2" TargetMode = "External"/><Relationship Id="rId11" Type="http://schemas.openxmlformats.org/officeDocument/2006/relationships/hyperlink" Target="https://login.consultant.ru/link/?req=doc&amp;base=LAW&amp;n=518125&amp;date=29.12.2025&amp;dst=100339&amp;field=134&amp;demo=2" TargetMode = "External"/><Relationship Id="rId12" Type="http://schemas.openxmlformats.org/officeDocument/2006/relationships/hyperlink" Target="https://login.consultant.ru/link/?req=doc&amp;base=LAW&amp;n=518125&amp;date=29.12.2025&amp;dst=100348&amp;field=134&amp;demo=2" TargetMode = "External"/><Relationship Id="rId13" Type="http://schemas.openxmlformats.org/officeDocument/2006/relationships/hyperlink" Target="https://login.consultant.ru/link/?req=doc&amp;base=LAW&amp;n=517471&amp;date=29.12.2025&amp;dst=323&amp;field=134&amp;demo=2" TargetMode = "External"/><Relationship Id="rId14" Type="http://schemas.openxmlformats.org/officeDocument/2006/relationships/hyperlink" Target="https://login.consultant.ru/link/?req=doc&amp;base=LAW&amp;n=517471&amp;date=29.12.2025&amp;dst=100544&amp;field=134&amp;demo=2" TargetMode = "External"/><Relationship Id="rId15" Type="http://schemas.openxmlformats.org/officeDocument/2006/relationships/hyperlink" Target="https://login.consultant.ru/link/?req=doc&amp;base=LAW&amp;n=489991&amp;date=29.12.2025&amp;dst=100012&amp;field=134&amp;demo=2" TargetMode = "External"/><Relationship Id="rId16" Type="http://schemas.openxmlformats.org/officeDocument/2006/relationships/hyperlink" Target="https://login.consultant.ru/link/?req=doc&amp;base=LAW&amp;n=489991&amp;date=29.12.2025&amp;dst=100013&amp;field=134&amp;demo=2" TargetMode = "External"/><Relationship Id="rId17" Type="http://schemas.openxmlformats.org/officeDocument/2006/relationships/hyperlink" Target="https://login.consultant.ru/link/?req=doc&amp;base=LAW&amp;n=511331&amp;date=29.12.2025&amp;demo=2" TargetMode = "External"/><Relationship Id="rId18" Type="http://schemas.openxmlformats.org/officeDocument/2006/relationships/hyperlink" Target="https://login.consultant.ru/link/?req=doc&amp;base=LAW&amp;n=502639&amp;date=29.12.2025&amp;dst=606&amp;field=134&amp;demo=2" TargetMode = "External"/><Relationship Id="rId19" Type="http://schemas.openxmlformats.org/officeDocument/2006/relationships/hyperlink" Target="https://login.consultant.ru/link/?req=doc&amp;base=LAW&amp;n=502639&amp;date=29.12.2025&amp;dst=606&amp;field=134&amp;demo=2" TargetMode = "External"/><Relationship Id="rId20" Type="http://schemas.openxmlformats.org/officeDocument/2006/relationships/image" Target="media/image2.wmf"/></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25.12.2025 N 2121
"Об утверждении Правил предоставления и оплаты услуг по санаторно-курортному лечению и медицинской реабилитации лиц, указанных в части 11 статьи 7 Федерального закона "О бюджете Фонда пенсионного и социального страхования Российской Федерации на 2026 год и на плановый период 2027 и 2028 годов", в реабилитационных центрах Фонда пенсионного и социального страхования Российской Федерации"</dc:title>
  <dcterms:created xsi:type="dcterms:W3CDTF">2025-12-29T16:42:31Z</dcterms:created>
</cp:coreProperties>
</file>