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25 ноября 2025 г. N 33023-ОГ/00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Основания и порядок проведения переустройства и (или) перепланировки жилого помещения регулируются нормами </w:t>
      </w:r>
      <w:hyperlink w:history="0" r:id="rId7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главы 4</w:t>
        </w:r>
      </w:hyperlink>
      <w:r>
        <w:rPr>
          <w:sz w:val="24"/>
        </w:rPr>
        <w:t xml:space="preserve"> Жилищного кодекса Российской Федерации (далее - ЖК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в соответствии со </w:t>
      </w:r>
      <w:hyperlink w:history="0" r:id="rId8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статьей 25</w:t>
        </w:r>
      </w:hyperlink>
      <w:r>
        <w:rPr>
          <w:sz w:val="24"/>
        </w:rPr>
        <w:t xml:space="preserve"> ЖК РФ, переустройство жилого помещения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Перепланировка помещения в многоквартирном доме (далее - МКД) представляет собой изменение границ и (или) площади такого помещения и (или) образование новых помещений, в том числе в случаях, предусмотренных </w:t>
      </w:r>
      <w:hyperlink w:history="0" r:id="rId9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статьей 40</w:t>
        </w:r>
      </w:hyperlink>
      <w:r>
        <w:rPr>
          <w:sz w:val="24"/>
        </w:rPr>
        <w:t xml:space="preserve"> ЖК РФ, и (или) изменение его внутренней планировки (в том числе без изменения границ и (или) площади помещения). В результате перепланировки помещения также могут быть изменены границы и (или) площадь смежных помещений.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Перепланировка влечет за собой необходимость внесения изменений в сведения Единого государственного реестра недвижимости о границах и (или) площади помещения (помещений) или осуществления государственного кадастрового учета образованных помещений и государственной регистрации права на образованные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статье 25</w:t>
        </w:r>
      </w:hyperlink>
      <w:r>
        <w:rPr>
          <w:sz w:val="24"/>
        </w:rPr>
        <w:t xml:space="preserve"> ЖК РФ перепланировка помещений выполняется с учетом требований </w:t>
      </w:r>
      <w:hyperlink w:history="0" r:id="rId11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Госстроя Российской Федерации от 27 сентября 2003 г. N 170 "Об утверждении Правил и норм технической эксплуатации жилищного фонда" (далее - Правила N 170).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N 170 перепланировка жилых помещений может включать: перенос и разборку перегородок, перенос и устройство дверных проемов, разукрупнение или укрупнение многокомнатных квартир, устройство дополнительных кухонь и санузлов, расширение жилой площади за счет вспомогательных помещений, ликвидация темных кухонь и входов в кухни через квартиры или жилые помещения, устройство или переоборудование существующих тамбуров.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перепланировка жилого помещения представляет собой изменение его конфигурации, требующее внесения изменения в технический паспорт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Переустройство либо перепланировка жилых помещений осуществляется по согласованию с органом местного самоуправления, на территории которого находится жилое помещение. Согласование осуществляется посредством принятия соответствующим органом местного самоуправления решения о перепланировке или переустройстве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этом, в соответствии с </w:t>
      </w:r>
      <w:hyperlink w:history="0" r:id="rId13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пунктом 1.7.2</w:t>
        </w:r>
      </w:hyperlink>
      <w:r>
        <w:rPr>
          <w:sz w:val="24"/>
        </w:rPr>
        <w:t xml:space="preserve"> Правил N 170, переоборудование и перепланировка жилых домов и квартир (комнат), ведущие к нарушению прочности или разрушению несущих конструкций здания, нарушению в работе инженерных систем и (или) установленного на нем оборудования, ухудшению сохранности и внешнего вида фасадов, нарушению противопожарных устройств, не допускаются. Перепланировка квартир (комнат), ухудшающая условия эксплуатации и проживания всех или отдельных граждан дома или квартиры, не допускается.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Также, согласно </w:t>
      </w:r>
      <w:hyperlink w:history="0" r:id="rId14" w:tooltip="Постановление Госстроя РФ от 27.09.2003 N 170 (с изм. от 22.06.2022) &quot;Об утверждении Правил и норм технической эксплуатации жилищного фонда&quot; (Зарегистрировано в Минюсте РФ 15.10.2003 N 5176) {КонсультантПлюс}">
        <w:r>
          <w:rPr>
            <w:sz w:val="24"/>
            <w:color w:val="0000ff"/>
          </w:rPr>
          <w:t xml:space="preserve">пункту 4.2.4</w:t>
        </w:r>
      </w:hyperlink>
      <w:r>
        <w:rPr>
          <w:sz w:val="24"/>
        </w:rPr>
        <w:t xml:space="preserve"> Правил N 170, не допускается расширять и пробивать проемы в стенах крупнопанельных и крупноблочных зданий.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Следует отметить, что Федеральный </w:t>
      </w:r>
      <w:hyperlink w:history="0" r:id="rId15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 декабря 2009 г. N 384-ФЗ "Технический регламент о безопасности зданий и сооружений" (далее - Технический регламент) не предусматривает применение перечней документов в области стандартизации, в результате применения которых обеспечивается соблюдение требований Технического </w:t>
      </w:r>
      <w:hyperlink w:history="0" r:id="rId16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. Соответствующие изменения внесены в </w:t>
      </w:r>
      <w:hyperlink w:history="0" r:id="rId17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статью 6</w:t>
        </w:r>
      </w:hyperlink>
      <w:r>
        <w:rPr>
          <w:sz w:val="24"/>
        </w:rPr>
        <w:t xml:space="preserve"> Технического регламента, где установлен перечень документов, в результате применения которых обеспечивается соблюдение требований Технического </w:t>
      </w:r>
      <w:hyperlink w:history="0" r:id="rId18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регламента</w:t>
        </w:r>
      </w:hyperlink>
      <w:r>
        <w:rPr>
          <w:sz w:val="24"/>
        </w:rPr>
        <w:t xml:space="preserve">, а также условия их применения.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9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части 2 статьи 6</w:t>
        </w:r>
      </w:hyperlink>
      <w:r>
        <w:rPr>
          <w:sz w:val="24"/>
        </w:rPr>
        <w:t xml:space="preserve"> Технического регламента национальные стандарты и своды правил, предусматривающие требования безопасности зданий, сооружений, процессов, осуществляемых на всех этапах их жизненного цикла, применяются со дня включения таких требований в реестр требований, подлежащих применению при проведении экспертизы проектной документации и (или) экспертизы результатов инженерных изысканий, осуществлении архитектурно-строительного проектирования, строительства, реконструкции, капитального ремонта, эксплуатации и сноса объектов капитального строительства (далее - Реестр требований), в порядке, установленном законодательством о градостроительной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Свод правил </w:t>
      </w:r>
      <w:hyperlink w:history="0" r:id="rId20" w:tooltip="&quot;СП 54.13330.2022. Свод правил. Здания жилые многоквартирные. СНиП 31-01-2003&quot; (утв. и введен в действие Приказом Минстроя России от 13.05.2022 N 361/пр) (ред. от 27.12.2024) {КонсультантПлюс}">
        <w:r>
          <w:rPr>
            <w:sz w:val="24"/>
            <w:color w:val="0000ff"/>
          </w:rPr>
          <w:t xml:space="preserve">СП 54.13330.2022</w:t>
        </w:r>
      </w:hyperlink>
      <w:r>
        <w:rPr>
          <w:sz w:val="24"/>
        </w:rPr>
        <w:t xml:space="preserve"> "СНиП 31-01-2003 Здания жилые многоквартирные" включен в Реестр требований.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этом, согласно </w:t>
      </w:r>
      <w:hyperlink w:history="0" r:id="rId21" w:tooltip="&quot;СП 54.13330.2022. Свод правил. Здания жилые многоквартирные. СНиП 31-01-2003&quot; (утв. и введен в действие Приказом Минстроя России от 13.05.2022 N 361/пр) (ред. от 27.12.2024) {КонсультантПлюс}">
        <w:r>
          <w:rPr>
            <w:sz w:val="24"/>
            <w:color w:val="0000ff"/>
          </w:rPr>
          <w:t xml:space="preserve">пункту 1.1</w:t>
        </w:r>
      </w:hyperlink>
      <w:r>
        <w:rPr>
          <w:sz w:val="24"/>
        </w:rPr>
        <w:t xml:space="preserve"> СП 54.13330.2022, данный свод правил распространяется на проектирование новых и реконструируемых многоквартирных жилых зданий (в том числе блокированных) высотой до 75 м для малоэтажной, среднеэтажной и многоэтажной застройки, в том числе общежитий квартирного типа, а также жилых помещений, входящих в состав помещений зданий другого функционального назначения. Таким образом, перепланировка жилых помещений не регулируется требованиями </w:t>
      </w:r>
      <w:hyperlink w:history="0" r:id="rId22" w:tooltip="&quot;СП 54.13330.2022. Свод правил. Здания жилые многоквартирные. СНиП 31-01-2003&quot; (утв. и введен в действие Приказом Минстроя России от 13.05.2022 N 361/пр) (ред. от 27.12.2024) {КонсультантПлюс}">
        <w:r>
          <w:rPr>
            <w:sz w:val="24"/>
            <w:color w:val="0000ff"/>
          </w:rPr>
          <w:t xml:space="preserve">СП 54.13330.2022</w:t>
        </w:r>
      </w:hyperlink>
      <w:r>
        <w:rPr>
          <w:sz w:val="24"/>
        </w:rPr>
        <w:t xml:space="preserve">, так как не является новым строительством или реконструкцией.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Согласование проекта перепланировки жилых помещений проводится на основании требований законодательства, в том числе нормативных правовых актов, таких как </w:t>
      </w:r>
      <w:hyperlink w:history="0" r:id="rId23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28 января 2006 г. N 47 "Об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домом" (далее - Положение N 47).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Действие </w:t>
      </w:r>
      <w:hyperlink w:history="0" r:id="rId24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Положения</w:t>
        </w:r>
      </w:hyperlink>
      <w:r>
        <w:rPr>
          <w:sz w:val="24"/>
        </w:rPr>
        <w:t xml:space="preserve"> N 47 распространяется на находящиеся в эксплуатации жилые помещения независимо от формы собственности, расположенные на территории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5" w:tooltip="Постановление Правительства РФ от 28.01.2006 N 47 (ред. от 19.10.2024) &quot;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&quot; {КонсультантПлюс}">
        <w:r>
          <w:rPr>
            <w:sz w:val="24"/>
            <w:color w:val="0000ff"/>
          </w:rPr>
          <w:t xml:space="preserve">пункту 10</w:t>
        </w:r>
      </w:hyperlink>
      <w:r>
        <w:rPr>
          <w:sz w:val="24"/>
        </w:rPr>
        <w:t xml:space="preserve"> Положения N 47 несущие и ограждающие конструкции жилого помещения, в том числе входящие в состав общего имущества собственников помещений в МКД, должны находиться в работоспособном состоянии, при котором возникшие в ходе эксплуатации нарушения в части деформативности (а в железобетонных конструкциях - в части трещиностойкости) не приводят к нарушению работоспособности и несущей способности конструкций, надежности жилого дома и обеспечивают безопасное пребывание граждан и сохранность инженерного оборудования. Таким образом, при перепланировке жилого помещения (квартиры) следует учитывать планировочные решения выше и ниже расположенных помещений.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считается также необходимым при перепланировке и (или) переустройстве помещений в МКД учитывать требования </w:t>
      </w:r>
      <w:hyperlink w:history="0" r:id="rId26" w:tooltip="&quot;Жилищный кодекс Российской Федерации&quot; от 29.12.2004 N 188-ФЗ (ред. от 04.11.2025) (с изм. и доп., вступ. в силу с 14.12.2025) ------------ Недействующая редакция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Федеральных законов от 30 декабря 2009 г. </w:t>
      </w:r>
      <w:hyperlink w:history="0" r:id="rId27" w:tooltip="Федеральный закон от 30.12.2009 N 384-ФЗ (ред. от 25.12.2023) &quot;Технический регламент о безопасности зданий и сооружений&quot; {КонсультантПлюс}">
        <w:r>
          <w:rPr>
            <w:sz w:val="24"/>
            <w:color w:val="0000ff"/>
          </w:rPr>
          <w:t xml:space="preserve">N 384-ФЗ</w:t>
        </w:r>
      </w:hyperlink>
      <w:r>
        <w:rPr>
          <w:sz w:val="24"/>
        </w:rPr>
        <w:t xml:space="preserve"> "Технический регламент о безопасности зданий и сооружений" и от 22 июля 2008 г. </w:t>
      </w:r>
      <w:hyperlink w:history="0" r:id="rId28" w:tooltip="Федеральный закон от 22.07.2008 N 123-ФЗ (ред. от 25.12.2023) &quot;Технический регламент о требованиях пожарной безопасности&quot; {КонсультантПлюс}">
        <w:r>
          <w:rPr>
            <w:sz w:val="24"/>
            <w:color w:val="0000ff"/>
          </w:rPr>
          <w:t xml:space="preserve">N 123-ФЗ</w:t>
        </w:r>
      </w:hyperlink>
      <w:r>
        <w:rPr>
          <w:sz w:val="24"/>
        </w:rPr>
        <w:t xml:space="preserve"> "Технический регламент о требованиях пожарной безопасности".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сообщается,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25.11.2025 N 33023-ОГ/00</w:t>
            <w:br/>
            <w:t>&lt;По вопросу о документации при перепланировке квартиры&gt;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25.11.2025 N 33023-ОГ/00 &lt;По вопросу о документации при перепланировке квартиры&gt;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520&amp;date=30.12.2025&amp;dst=830&amp;field=134&amp;demo=2" TargetMode = "External"/><Relationship Id="rId8" Type="http://schemas.openxmlformats.org/officeDocument/2006/relationships/hyperlink" Target="https://login.consultant.ru/link/?req=doc&amp;base=LAW&amp;n=507520&amp;date=30.12.2025&amp;dst=831&amp;field=134&amp;demo=2" TargetMode = "External"/><Relationship Id="rId9" Type="http://schemas.openxmlformats.org/officeDocument/2006/relationships/hyperlink" Target="https://login.consultant.ru/link/?req=doc&amp;base=LAW&amp;n=507520&amp;date=30.12.2025&amp;dst=100288&amp;field=134&amp;demo=2" TargetMode = "External"/><Relationship Id="rId10" Type="http://schemas.openxmlformats.org/officeDocument/2006/relationships/hyperlink" Target="https://login.consultant.ru/link/?req=doc&amp;base=LAW&amp;n=507520&amp;date=30.12.2025&amp;dst=831&amp;field=134&amp;demo=2" TargetMode = "External"/><Relationship Id="rId11" Type="http://schemas.openxmlformats.org/officeDocument/2006/relationships/hyperlink" Target="https://login.consultant.ru/link/?req=doc&amp;base=LAW&amp;n=44772&amp;date=30.12.2025&amp;demo=2" TargetMode = "External"/><Relationship Id="rId12" Type="http://schemas.openxmlformats.org/officeDocument/2006/relationships/hyperlink" Target="https://login.consultant.ru/link/?req=doc&amp;base=LAW&amp;n=44772&amp;date=30.12.2025&amp;dst=100012&amp;field=134&amp;demo=2" TargetMode = "External"/><Relationship Id="rId13" Type="http://schemas.openxmlformats.org/officeDocument/2006/relationships/hyperlink" Target="https://login.consultant.ru/link/?req=doc&amp;base=LAW&amp;n=44772&amp;date=30.12.2025&amp;dst=100065&amp;field=134&amp;demo=2" TargetMode = "External"/><Relationship Id="rId14" Type="http://schemas.openxmlformats.org/officeDocument/2006/relationships/hyperlink" Target="https://login.consultant.ru/link/?req=doc&amp;base=LAW&amp;n=44772&amp;date=30.12.2025&amp;dst=100594&amp;field=134&amp;demo=2" TargetMode = "External"/><Relationship Id="rId15" Type="http://schemas.openxmlformats.org/officeDocument/2006/relationships/hyperlink" Target="https://login.consultant.ru/link/?req=doc&amp;base=LAW&amp;n=471020&amp;date=30.12.2025&amp;demo=2" TargetMode = "External"/><Relationship Id="rId16" Type="http://schemas.openxmlformats.org/officeDocument/2006/relationships/hyperlink" Target="https://login.consultant.ru/link/?req=doc&amp;base=LAW&amp;n=471020&amp;date=30.12.2025&amp;demo=2" TargetMode = "External"/><Relationship Id="rId17" Type="http://schemas.openxmlformats.org/officeDocument/2006/relationships/hyperlink" Target="https://login.consultant.ru/link/?req=doc&amp;base=LAW&amp;n=471020&amp;date=30.12.2025&amp;dst=14&amp;field=134&amp;demo=2" TargetMode = "External"/><Relationship Id="rId18" Type="http://schemas.openxmlformats.org/officeDocument/2006/relationships/hyperlink" Target="https://login.consultant.ru/link/?req=doc&amp;base=LAW&amp;n=471020&amp;date=30.12.2025&amp;demo=2" TargetMode = "External"/><Relationship Id="rId19" Type="http://schemas.openxmlformats.org/officeDocument/2006/relationships/hyperlink" Target="https://login.consultant.ru/link/?req=doc&amp;base=LAW&amp;n=471020&amp;date=30.12.2025&amp;dst=20&amp;field=134&amp;demo=2" TargetMode = "External"/><Relationship Id="rId20" Type="http://schemas.openxmlformats.org/officeDocument/2006/relationships/hyperlink" Target="https://login.consultant.ru/link/?req=doc&amp;base=STR&amp;n=34874&amp;date=30.12.2025&amp;demo=2" TargetMode = "External"/><Relationship Id="rId21" Type="http://schemas.openxmlformats.org/officeDocument/2006/relationships/hyperlink" Target="https://login.consultant.ru/link/?req=doc&amp;base=STR&amp;n=34874&amp;date=30.12.2025&amp;dst=100020&amp;field=134&amp;demo=2" TargetMode = "External"/><Relationship Id="rId22" Type="http://schemas.openxmlformats.org/officeDocument/2006/relationships/hyperlink" Target="https://login.consultant.ru/link/?req=doc&amp;base=STR&amp;n=34874&amp;date=30.12.2025&amp;demo=2" TargetMode = "External"/><Relationship Id="rId23" Type="http://schemas.openxmlformats.org/officeDocument/2006/relationships/hyperlink" Target="https://login.consultant.ru/link/?req=doc&amp;base=LAW&amp;n=489041&amp;date=30.12.2025&amp;demo=2" TargetMode = "External"/><Relationship Id="rId24" Type="http://schemas.openxmlformats.org/officeDocument/2006/relationships/hyperlink" Target="https://login.consultant.ru/link/?req=doc&amp;base=LAW&amp;n=489041&amp;date=30.12.2025&amp;dst=100188&amp;field=134&amp;demo=2" TargetMode = "External"/><Relationship Id="rId25" Type="http://schemas.openxmlformats.org/officeDocument/2006/relationships/hyperlink" Target="https://login.consultant.ru/link/?req=doc&amp;base=LAW&amp;n=489041&amp;date=30.12.2025&amp;dst=100030&amp;field=134&amp;demo=2" TargetMode = "External"/><Relationship Id="rId26" Type="http://schemas.openxmlformats.org/officeDocument/2006/relationships/hyperlink" Target="https://login.consultant.ru/link/?req=doc&amp;base=LAW&amp;n=507520&amp;date=30.12.2025&amp;demo=2" TargetMode = "External"/><Relationship Id="rId27" Type="http://schemas.openxmlformats.org/officeDocument/2006/relationships/hyperlink" Target="https://login.consultant.ru/link/?req=doc&amp;base=LAW&amp;n=471020&amp;date=30.12.2025&amp;demo=2" TargetMode = "External"/><Relationship Id="rId28" Type="http://schemas.openxmlformats.org/officeDocument/2006/relationships/hyperlink" Target="https://login.consultant.ru/link/?req=doc&amp;base=LAW&amp;n=465775&amp;date=30.12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25.11.2025 N 33023-ОГ/00
&lt;По вопросу о документации при перепланировке квартиры&gt;</dc:title>
  <dcterms:created xsi:type="dcterms:W3CDTF">2025-12-30T12:28:57Z</dcterms:created>
</cp:coreProperties>
</file>