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Министра обороны РФ от 08.12.2025 N 801</w:t>
              <w:br/>
              <w:t xml:space="preserve">"О внесении изменений в приложения N 1 и 2 к приказу Министра обороны Российской Федерации от 30 сентября 2024 г. N 595 "О системе оплаты труда гражданского персонала (работников) воинских частей и организаций Вооруженных Сил Российской Федерации"</w:t>
              <w:br/>
              <w:t xml:space="preserve">(Зарегистрировано в Минюсте России 30.12.2025 N 84869)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12.01.2026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30 декабря 2025 г. N 84869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8 декабря 2025 г. N 801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ПРИЛОЖЕНИЯ N 1 И 2 К ПРИКАЗУ МИНИСТРА ОБОРОНЫ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ОТ 30 СЕНТЯБРЯ 2024 Г. N 595 "О СИСТЕМЕ</w:t>
      </w:r>
    </w:p>
    <w:p>
      <w:pPr>
        <w:pStyle w:val="2"/>
        <w:jc w:val="center"/>
      </w:pPr>
      <w:r>
        <w:rPr>
          <w:sz w:val="24"/>
        </w:rPr>
        <w:t xml:space="preserve">ОПЛАТЫ ТРУДА ГРАЖДАНСКОГО ПЕРСОНАЛА (РАБОТНИКОВ) ВОИНСКИХ</w:t>
      </w:r>
    </w:p>
    <w:p>
      <w:pPr>
        <w:pStyle w:val="2"/>
        <w:jc w:val="center"/>
      </w:pPr>
      <w:r>
        <w:rPr>
          <w:sz w:val="24"/>
        </w:rPr>
        <w:t xml:space="preserve">ЧАСТЕЙ И ОРГАНИЗАЦИЙ ВООРУЖЕННЫХ СИЛ РОССИЙСКОЙ ФЕДЕРАЦИИ"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31.05.1996 N 61-ФЗ (ред. от 04.11.2025) &quot;Об обороне&quot; {КонсультантПлюс}">
        <w:r>
          <w:rPr>
            <w:sz w:val="24"/>
            <w:color w:val="0000ff"/>
          </w:rPr>
          <w:t xml:space="preserve">пунктом 2 статьи 13</w:t>
        </w:r>
      </w:hyperlink>
      <w:r>
        <w:rPr>
          <w:sz w:val="24"/>
        </w:rPr>
        <w:t xml:space="preserve"> Федерального закона от 31 мая 1996 г. N 61-ФЗ "Об обороне", </w:t>
      </w:r>
      <w:hyperlink w:history="0" r:id="rId9" w:tooltip="Федеральный закон от 28.03.1998 N 53-ФЗ (ред. от 28.12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пунктом 1 статьи 2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службе", Федеральным </w:t>
      </w:r>
      <w:hyperlink w:history="0" r:id="rId10" w:tooltip="Федеральный закон от 28.11.2025 N 429-ФЗ &quot;О внесении изменения в статью 1 Федерального закона &quot;О минимальном размере оплаты труд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28 ноября 2025 г. N 429-ФЗ "О внесении изменения в статью 1 Федерального закона "О минимальном размере оплаты труда", </w:t>
      </w:r>
      <w:hyperlink w:history="0" r:id="rId11" w:tooltip="Постановление Правительства РФ от 05.08.2008 N 583 (ред. от 11.12.2024) &quot;О введении новых систем оплаты труда работников федеральных бюджетных, автономных и казенных учреждений и федеральных государственных органов, а также гражданского персонала воинских частей, учреждений и подразделений федеральных органов исполнительной власти, в которых законом предусмотрена военная и приравненная к ней служба, оплата труда которых осуществляется на основе Единой тарифной сетки по оплате труда работников федеральных го {КонсультантПлюс}">
        <w:r>
          <w:rPr>
            <w:sz w:val="24"/>
            <w:color w:val="0000ff"/>
          </w:rPr>
          <w:t xml:space="preserve">пунктами 8</w:t>
        </w:r>
      </w:hyperlink>
      <w:r>
        <w:rPr>
          <w:sz w:val="24"/>
        </w:rPr>
        <w:t xml:space="preserve"> и </w:t>
      </w:r>
      <w:hyperlink w:history="0" r:id="rId12" w:tooltip="Постановление Правительства РФ от 05.08.2008 N 583 (ред. от 11.12.2024) &quot;О введении новых систем оплаты труда работников федеральных бюджетных, автономных и казенных учреждений и федеральных государственных органов, а также гражданского персонала воинских частей, учреждений и подразделений федеральных органов исполнительной власти, в которых законом предусмотрена военная и приравненная к ней служба, оплата труда которых осуществляется на основе Единой тарифной сетки по оплате труда работников федеральных го {КонсультантПлюс}">
        <w:r>
          <w:rPr>
            <w:sz w:val="24"/>
            <w:color w:val="0000ff"/>
          </w:rPr>
          <w:t xml:space="preserve">8.3</w:t>
        </w:r>
      </w:hyperlink>
      <w:r>
        <w:rPr>
          <w:sz w:val="24"/>
        </w:rPr>
        <w:t xml:space="preserve"> постановления Правительства Российской Федерации от 5 августа 2008 г. N 583 "О введении новых систем оплаты труда работников федеральных бюджетных, автономных и казенных учреждений и федеральных государственных органов, а также гражданского персонала воинских частей, учреждений и подразделений федеральных органов исполнительной власти, в которых законом предусмотрена военная и приравненная к ней служба, оплата труда которых осуществляется на основе Единой тарифной сетки по оплате труда работников федеральных государственных учреждений"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Внести изменения в </w:t>
      </w:r>
      <w:hyperlink w:history="0" r:id="rId13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приложения N 1</w:t>
        </w:r>
      </w:hyperlink>
      <w:r>
        <w:rPr>
          <w:sz w:val="24"/>
        </w:rPr>
        <w:t xml:space="preserve"> и </w:t>
      </w:r>
      <w:hyperlink w:history="0" r:id="rId14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 к приказу Министра обороны Российской Федерации от 30 сентября 2024 г. N 595 "О системе оплаты труда гражданского персонала (работников) воинских частей и организаций Вооруженных Сил Российской Федерации" (зарегистрирован Министерством юстиции Российской Федерации 18 октября 2024 г., регистрационный N 79823) с изменением, внесенным приказом Министра обороны Российской Федерации от 7 декабря 2024 г. N 773 (зарегистрирован Министерством юстиции Российской Федерации 25 декабря 2024 г., регистрационный N 80752), согласно Перечню (</w:t>
      </w:r>
      <w:hyperlink w:history="0" w:anchor="P32" w:tooltip="ПЕРЕЧЕНЬ">
        <w:r>
          <w:rPr>
            <w:sz w:val="24"/>
            <w:color w:val="0000ff"/>
          </w:rPr>
          <w:t xml:space="preserve">приложение</w:t>
        </w:r>
      </w:hyperlink>
      <w:r>
        <w:rPr>
          <w:sz w:val="24"/>
        </w:rPr>
        <w:t xml:space="preserve"> к настоящему приказу).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Ежемесячную стимулирующую выплату за интенсивность работы в размере, предусмотренном </w:t>
      </w:r>
      <w:hyperlink w:history="0" w:anchor="P68" w:tooltip="2) в таблице 59 в позиции:">
        <w:r>
          <w:rPr>
            <w:sz w:val="24"/>
            <w:color w:val="0000ff"/>
          </w:rPr>
          <w:t xml:space="preserve">подпунктом 2 пункта 2</w:t>
        </w:r>
      </w:hyperlink>
      <w:r>
        <w:rPr>
          <w:sz w:val="24"/>
        </w:rPr>
        <w:t xml:space="preserve"> приложения к настоящему приказу, производить с 1 января 2026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8 декабря 2025 г. N 801</w:t>
      </w:r>
    </w:p>
    <w:p>
      <w:pPr>
        <w:pStyle w:val="0"/>
        <w:jc w:val="right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ИЗМЕНЕНИЙ, ВНОСИМЫХ В ПРИЛОЖЕНИЯ N 1 И 2 К ПРИКАЗУ МИНИСТРА</w:t>
      </w:r>
    </w:p>
    <w:p>
      <w:pPr>
        <w:pStyle w:val="2"/>
        <w:jc w:val="center"/>
      </w:pPr>
      <w:r>
        <w:rPr>
          <w:sz w:val="24"/>
        </w:rPr>
        <w:t xml:space="preserve">ОБОРОНЫ РОССИЙСКОЙ ФЕДЕРАЦИИ ОТ 30 СЕНТЯБРЯ 2024 Г. N 595</w:t>
      </w:r>
    </w:p>
    <w:p>
      <w:pPr>
        <w:pStyle w:val="2"/>
        <w:jc w:val="center"/>
      </w:pPr>
      <w:r>
        <w:rPr>
          <w:sz w:val="24"/>
        </w:rPr>
        <w:t xml:space="preserve">"О СИСТЕМЕ ОПЛАТЫ ТРУДА ГРАЖДАНСКОГО ПЕРСОНАЛА (РАБОТНИКОВ)</w:t>
      </w:r>
    </w:p>
    <w:p>
      <w:pPr>
        <w:pStyle w:val="2"/>
        <w:jc w:val="center"/>
      </w:pPr>
      <w:r>
        <w:rPr>
          <w:sz w:val="24"/>
        </w:rPr>
        <w:t xml:space="preserve">ВОИНСКИХ ЧАСТЕЙ И ОРГАНИЗАЦИЙ ВООРУЖЕННЫХ СИЛ</w:t>
      </w:r>
    </w:p>
    <w:p>
      <w:pPr>
        <w:pStyle w:val="2"/>
        <w:jc w:val="center"/>
      </w:pPr>
      <w:r>
        <w:rPr>
          <w:sz w:val="24"/>
        </w:rPr>
        <w:t xml:space="preserve">РОССИЙСКОЙ ФЕДЕРАЦИИ"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15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Размерах</w:t>
        </w:r>
      </w:hyperlink>
      <w:r>
        <w:rPr>
          <w:sz w:val="24"/>
        </w:rPr>
        <w:t xml:space="preserve">, порядке и условиях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 (приложение N 1 к приказу):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16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таблицу 25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"Главное управление дорожного хозяйства Министерства обороны</w:t>
      </w:r>
    </w:p>
    <w:p>
      <w:pPr>
        <w:pStyle w:val="0"/>
        <w:jc w:val="center"/>
      </w:pPr>
      <w:r>
        <w:rPr>
          <w:sz w:val="24"/>
        </w:rPr>
        <w:t xml:space="preserve">(подразделения дорожного хозяйства)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Таблица 25</w:t>
      </w:r>
    </w:p>
    <w:p>
      <w:pPr>
        <w:pStyle w:val="0"/>
        <w:jc w:val="right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256"/>
        <w:gridCol w:w="1814"/>
      </w:tblGrid>
      <w:tr>
        <w:tblPrEx>
          <w:tblBorders>
            <w:insideH w:val="single" w:sz="4"/>
          </w:tblBorders>
        </w:tblPrEx>
        <w:tc>
          <w:tcPr>
            <w:tcW w:w="7256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</w:t>
            </w:r>
          </w:p>
        </w:tc>
        <w:tc>
          <w:tcPr>
            <w:tcW w:w="1814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Должностной оклад, руб.</w:t>
            </w:r>
          </w:p>
        </w:tc>
      </w:tr>
      <w:tr>
        <w:tc>
          <w:tcPr>
            <w:tcW w:w="7256" w:type="dxa"/>
            <w:tcBorders>
              <w:top w:val="single" w:sz="4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Начальник:</w:t>
            </w:r>
          </w:p>
        </w:tc>
        <w:tc>
          <w:tcPr>
            <w:tcW w:w="1814" w:type="dxa"/>
            <w:tcBorders>
              <w:top w:val="single" w:sz="4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7256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Главного управления</w:t>
            </w:r>
          </w:p>
        </w:tc>
        <w:tc>
          <w:tcPr>
            <w:tcW w:w="181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35 000</w:t>
            </w:r>
          </w:p>
        </w:tc>
      </w:tr>
      <w:tr>
        <w:tc>
          <w:tcPr>
            <w:tcW w:w="7256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филиала Главного управления, управления дорожного хозяйства</w:t>
            </w:r>
          </w:p>
        </w:tc>
        <w:tc>
          <w:tcPr>
            <w:tcW w:w="181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27 740</w:t>
            </w:r>
          </w:p>
        </w:tc>
      </w:tr>
      <w:tr>
        <w:tc>
          <w:tcPr>
            <w:tcW w:w="7256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участка (дорожно-эксплуатационного), дорожного участка</w:t>
            </w:r>
          </w:p>
        </w:tc>
        <w:tc>
          <w:tcPr>
            <w:tcW w:w="181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22 198</w:t>
            </w:r>
          </w:p>
        </w:tc>
      </w:tr>
      <w:tr>
        <w:tc>
          <w:tcPr>
            <w:tcW w:w="7256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дистанции (дорожной)</w:t>
            </w:r>
          </w:p>
        </w:tc>
        <w:tc>
          <w:tcPr>
            <w:tcW w:w="181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20 391</w:t>
            </w:r>
          </w:p>
        </w:tc>
      </w:tr>
      <w:tr>
        <w:tc>
          <w:tcPr>
            <w:tcW w:w="7256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Начальник отдела (службы) (финансово-экономического) - главный бухгалтер Главного управления</w:t>
            </w:r>
          </w:p>
        </w:tc>
        <w:tc>
          <w:tcPr>
            <w:tcW w:w="181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23 000</w:t>
            </w:r>
          </w:p>
        </w:tc>
      </w:tr>
      <w:tr>
        <w:tc>
          <w:tcPr>
            <w:tcW w:w="7256" w:type="dxa"/>
            <w:vAlign w:val="bottom"/>
            <w:tcBorders>
              <w:top w:val="nil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Главный инженер</w:t>
            </w:r>
          </w:p>
        </w:tc>
        <w:tc>
          <w:tcPr>
            <w:tcW w:w="181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19 013</w:t>
            </w:r>
          </w:p>
        </w:tc>
      </w:tr>
      <w:tr>
        <w:tc>
          <w:tcPr>
            <w:tcW w:w="7256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Главный: механик, энергетик</w:t>
            </w:r>
          </w:p>
        </w:tc>
        <w:tc>
          <w:tcPr>
            <w:tcW w:w="181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16 700</w:t>
            </w:r>
          </w:p>
        </w:tc>
      </w:tr>
      <w:tr>
        <w:tc>
          <w:tcPr>
            <w:tcW w:w="7256" w:type="dxa"/>
            <w:tcBorders>
              <w:top w:val="nil"/>
              <w:left w:val="nil"/>
              <w:bottom w:val="single" w:sz="4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Мастер (дорожный)</w:t>
            </w:r>
          </w:p>
        </w:tc>
        <w:tc>
          <w:tcPr>
            <w:tcW w:w="1814" w:type="dxa"/>
            <w:tcBorders>
              <w:top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10 879";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bookmarkStart w:id="68" w:name="P68"/>
    <w:bookmarkEnd w:id="68"/>
    <w:p>
      <w:pPr>
        <w:pStyle w:val="0"/>
        <w:ind w:firstLine="540"/>
        <w:jc w:val="both"/>
      </w:pPr>
      <w:r>
        <w:rPr>
          <w:sz w:val="24"/>
        </w:rPr>
        <w:t xml:space="preserve">2) в таблице 59 в </w:t>
      </w:r>
      <w:hyperlink w:history="0" r:id="rId17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позиции</w:t>
        </w:r>
      </w:hyperlink>
      <w:r>
        <w:rPr>
          <w:sz w:val="24"/>
        </w:rPr>
        <w:t xml:space="preserve">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426"/>
        <w:gridCol w:w="1644"/>
      </w:tblGrid>
      <w:tr>
        <w:tc>
          <w:tcPr>
            <w:tcW w:w="7426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"Ведущий: геолог, документовед, инженер (других специальностей и наименований), охотовед, переводчик, переводчик-дактилолог, психолог, редактор книжной редакции, социолог, товаровед, физиолог, художник, художник-оформитель; ведущий редактор: научный, художественный (в редакционно-издательском отделе (группе), специалист по охране труда, специалист гражданской обороны</w:t>
            </w:r>
          </w:p>
        </w:tc>
        <w:tc>
          <w:tcPr>
            <w:tcW w:w="164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11 140"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после слова "социолог," дополнить словами "специалист гражданской обороны, специалист по охране труда,";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</w:t>
      </w:r>
      <w:hyperlink w:history="0" r:id="rId18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графе</w:t>
        </w:r>
      </w:hyperlink>
      <w:r>
        <w:rPr>
          <w:sz w:val="24"/>
        </w:rPr>
        <w:t xml:space="preserve"> "Наименование должности" таблицы 63 в позиции "Методист (включая старшего), инструктор-методист (включая старшего), мастер производственного обучения, преподаватель-организатор (основ безопасности жизнедеятельности, допризывной подготовки), педагог-организатор, руководитель физического воспитания, учитель-дефектолог (учитель-логопед, логопед), тренер-преподаватель (включая старшего), тьютор, преподаватель, преподаватель (руководитель дисциплины), учитель, воспитатель (включая старшего), старший воспитатель (начальник курса), концертмейстер, педагог-психолог, педагог дополнительного образования, педагог дополнительного образования (руководитель дисциплины):" после слов "(основ безопасности жизнедеятельности, допризывной подготовки)," дополнить словами "преподаватель-организатор основ безопасности и защиты Родины, советник директора по воспитанию и взаимодействию с детскими общественными объединениями,";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</w:t>
      </w:r>
      <w:hyperlink w:history="0" r:id="rId19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таблицей 66(1)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"Клинико-диагностический центр Генерального штаба</w:t>
      </w:r>
    </w:p>
    <w:p>
      <w:pPr>
        <w:pStyle w:val="0"/>
        <w:jc w:val="center"/>
      </w:pPr>
      <w:r>
        <w:rPr>
          <w:sz w:val="24"/>
        </w:rPr>
        <w:t xml:space="preserve">Вооруженных Сил</w:t>
      </w:r>
    </w:p>
    <w:p>
      <w:pPr>
        <w:pStyle w:val="0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Таблица 66(1)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427"/>
        <w:gridCol w:w="1587"/>
      </w:tblGrid>
      <w:tr>
        <w:tblPrEx>
          <w:tblBorders>
            <w:insideH w:val="single" w:sz="4"/>
          </w:tblBorders>
        </w:tblPrEx>
        <w:tc>
          <w:tcPr>
            <w:tcW w:w="7427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</w:t>
            </w:r>
          </w:p>
        </w:tc>
        <w:tc>
          <w:tcPr>
            <w:tcW w:w="1587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Должностной оклад, руб.</w:t>
            </w:r>
          </w:p>
        </w:tc>
      </w:tr>
      <w:tr>
        <w:tc>
          <w:tcPr>
            <w:tcW w:w="7427" w:type="dxa"/>
            <w:tcBorders>
              <w:top w:val="single" w:sz="4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Начальник центра</w:t>
            </w:r>
          </w:p>
        </w:tc>
        <w:tc>
          <w:tcPr>
            <w:tcW w:w="1587" w:type="dxa"/>
            <w:tcBorders>
              <w:top w:val="single" w:sz="4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41 000</w:t>
            </w:r>
          </w:p>
        </w:tc>
      </w:tr>
      <w:tr>
        <w:tc>
          <w:tcPr>
            <w:tcW w:w="7427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Начальник:</w:t>
            </w:r>
          </w:p>
        </w:tc>
        <w:tc>
          <w:tcPr>
            <w:tcW w:w="1587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7427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филиала (консультативно-диагностического центра)</w:t>
            </w:r>
          </w:p>
        </w:tc>
        <w:tc>
          <w:tcPr>
            <w:tcW w:w="1587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33 292</w:t>
            </w:r>
          </w:p>
        </w:tc>
      </w:tr>
      <w:tr>
        <w:tc>
          <w:tcPr>
            <w:tcW w:w="7427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филиала (медицинского центра преморбидных и неотложных состояний)</w:t>
            </w:r>
          </w:p>
        </w:tc>
        <w:tc>
          <w:tcPr>
            <w:tcW w:w="1587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29 117</w:t>
            </w:r>
          </w:p>
        </w:tc>
      </w:tr>
      <w:tr>
        <w:tc>
          <w:tcPr>
            <w:tcW w:w="7427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Начальник отдела (финансово-экономического) - главный бухгалтер</w:t>
            </w:r>
          </w:p>
        </w:tc>
        <w:tc>
          <w:tcPr>
            <w:tcW w:w="1587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24 964</w:t>
            </w:r>
          </w:p>
        </w:tc>
      </w:tr>
      <w:tr>
        <w:tc>
          <w:tcPr>
            <w:tcW w:w="7427" w:type="dxa"/>
            <w:tcBorders>
              <w:top w:val="nil"/>
              <w:left w:val="nil"/>
              <w:bottom w:val="single" w:sz="4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Главная медицинская сестра</w:t>
            </w:r>
          </w:p>
        </w:tc>
        <w:tc>
          <w:tcPr>
            <w:tcW w:w="1587" w:type="dxa"/>
            <w:tcBorders>
              <w:top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20 531";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5) в </w:t>
      </w:r>
      <w:hyperlink w:history="0" r:id="rId20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таблице 72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1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слова "Центральный военно-патриотический парк культуры и отдыха Вооруженных Сил "Патриот", Конгрессно-выставочный центр "Патриот", Музейно-храмовый комплекс Вооруженных Сил" заменить словами "Центральный парк "Патриот";</w:t>
      </w:r>
    </w:p>
    <w:p>
      <w:pPr>
        <w:pStyle w:val="0"/>
        <w:spacing w:before="240" w:lineRule="auto"/>
        <w:ind w:firstLine="540"/>
        <w:jc w:val="both"/>
      </w:pPr>
      <w:hyperlink w:history="0" r:id="rId22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позицию</w:t>
        </w:r>
      </w:hyperlink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0"/>
        <w:gridCol w:w="1700"/>
      </w:tblGrid>
      <w:tr>
        <w:tc>
          <w:tcPr>
            <w:tcW w:w="7370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"Центрального военно-патриотического парка культуры и отдыха Вооруженных Сил "Патриот"</w:t>
            </w:r>
          </w:p>
        </w:tc>
        <w:tc>
          <w:tcPr>
            <w:tcW w:w="1700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45 110"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исключить;</w:t>
      </w:r>
    </w:p>
    <w:p>
      <w:pPr>
        <w:pStyle w:val="0"/>
        <w:spacing w:before="240" w:lineRule="auto"/>
        <w:ind w:firstLine="540"/>
        <w:jc w:val="both"/>
      </w:pPr>
      <w:hyperlink w:history="0" r:id="rId23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позицию</w:t>
        </w:r>
      </w:hyperlink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0"/>
        <w:gridCol w:w="1700"/>
      </w:tblGrid>
      <w:tr>
        <w:tc>
          <w:tcPr>
            <w:tcW w:w="7370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"Конгрессно-выставочного центра "Патриот", Музейно-храмового комплекса Вооруженных Сил</w:t>
            </w:r>
          </w:p>
        </w:tc>
        <w:tc>
          <w:tcPr>
            <w:tcW w:w="1700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25 780"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0"/>
        <w:gridCol w:w="1700"/>
      </w:tblGrid>
      <w:tr>
        <w:tc>
          <w:tcPr>
            <w:tcW w:w="7370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"Центрального парка "Патриот"</w:t>
            </w:r>
          </w:p>
        </w:tc>
        <w:tc>
          <w:tcPr>
            <w:tcW w:w="1700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27 740";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</w:t>
      </w:r>
      <w:hyperlink w:history="0" r:id="rId24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позиции</w:t>
        </w:r>
      </w:hyperlink>
      <w:r>
        <w:rPr>
          <w:sz w:val="24"/>
        </w:rPr>
        <w:t xml:space="preserve">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0"/>
        <w:gridCol w:w="1700"/>
      </w:tblGrid>
      <w:tr>
        <w:tc>
          <w:tcPr>
            <w:tcW w:w="7370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"Центрального Военно-морского музея, Военно-исторического музея артиллерии, инженерных войск и войск связи, филиала Центрального музея Вооруженных Сил (Центральный музей Военно-воздушных сил), военно-патриотического парка культуры и отдыха "Патриот" (военного округа, флота), филиала Центрального военно-патриотического парка культуры и отдыха Вооруженных Сил "Патриот"</w:t>
            </w:r>
          </w:p>
        </w:tc>
        <w:tc>
          <w:tcPr>
            <w:tcW w:w="1700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24 490"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слова ", филиала Центрального военно-патриотического парка культуры и отдыха Вооруженных Сил "Патриот"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5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позиции</w:t>
        </w:r>
      </w:hyperlink>
      <w:r>
        <w:rPr>
          <w:sz w:val="24"/>
        </w:rPr>
        <w:t xml:space="preserve">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0"/>
        <w:gridCol w:w="1700"/>
      </w:tblGrid>
      <w:tr>
        <w:tc>
          <w:tcPr>
            <w:tcW w:w="7370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"Центральной военно-морской библиотеки, Информационного историко-научного центра - Военной исторической библиотеки Генерального штаба Вооруженных Сил, филиала Конгрессно-выставочного центра "Патриот", филиала Музейно-храмового комплекса Вооруженных Сил</w:t>
            </w:r>
          </w:p>
        </w:tc>
        <w:tc>
          <w:tcPr>
            <w:tcW w:w="1700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18 690"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слова "Конгрессно-выставочного центра "Патриот", филиала Музейно-храмового комплекса Вооруженных Сил" заменить словами "Центрального парка "Патриот";</w:t>
      </w:r>
    </w:p>
    <w:p>
      <w:pPr>
        <w:pStyle w:val="0"/>
        <w:spacing w:before="240" w:lineRule="auto"/>
        <w:ind w:firstLine="540"/>
        <w:jc w:val="both"/>
      </w:pPr>
      <w:hyperlink w:history="0" r:id="rId26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позицию</w:t>
        </w:r>
      </w:hyperlink>
      <w:r>
        <w:rPr>
          <w:sz w:val="24"/>
        </w:rPr>
        <w:t xml:space="preserve">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0"/>
        <w:gridCol w:w="1700"/>
      </w:tblGrid>
      <w:tr>
        <w:tc>
          <w:tcPr>
            <w:tcW w:w="7370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"Начальник военной исторической библиотеки Генерального штаба Вооруженных Сил</w:t>
            </w:r>
          </w:p>
        </w:tc>
        <w:tc>
          <w:tcPr>
            <w:tcW w:w="1700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13 200"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0"/>
        <w:gridCol w:w="1700"/>
      </w:tblGrid>
      <w:tr>
        <w:tc>
          <w:tcPr>
            <w:tcW w:w="7370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"Начальник: военной исторической библиотеки Генерального штаба Вооруженных Сил, военной научной библиотеки Генерального штаба Вооруженных Сил</w:t>
            </w:r>
          </w:p>
        </w:tc>
        <w:tc>
          <w:tcPr>
            <w:tcW w:w="1700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14 500";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6) в заголовке </w:t>
      </w:r>
      <w:hyperlink w:history="0" r:id="rId27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граф 3</w:t>
        </w:r>
      </w:hyperlink>
      <w:r>
        <w:rPr>
          <w:sz w:val="24"/>
        </w:rPr>
        <w:t xml:space="preserve"> и </w:t>
      </w:r>
      <w:hyperlink w:history="0" r:id="rId28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4 таблицы 73</w:t>
        </w:r>
      </w:hyperlink>
      <w:r>
        <w:rPr>
          <w:sz w:val="24"/>
        </w:rPr>
        <w:t xml:space="preserve"> слова "Центральный военно-патриотический парк культуры и отдыха Вооруженных Сил "Патриот", Конгрессно-выставочный центр "Патриот", Музейно-храмовый комплекс Вооруженных Сил" заменить словами "Центральный парк "Патриот".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29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Условиях</w:t>
        </w:r>
      </w:hyperlink>
      <w:r>
        <w:rPr>
          <w:sz w:val="24"/>
        </w:rPr>
        <w:t xml:space="preserve">, размерах и порядке осуществления выплат компенсационного и стимулирующего характера гражданскому персоналу (работникам) воинских частей и организаций Вооруженных Сил Российской Федерации (приложение N 2 к приказу):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30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пункте 24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31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абзац десятый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"начальникам филиалов: госпиталей, клинико-диагностических центров и их заместителям;";</w:t>
      </w:r>
    </w:p>
    <w:p>
      <w:pPr>
        <w:pStyle w:val="0"/>
        <w:spacing w:before="240" w:lineRule="auto"/>
        <w:ind w:firstLine="540"/>
        <w:jc w:val="both"/>
      </w:pPr>
      <w:hyperlink w:history="0" r:id="rId32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абзац двенадцатый</w:t>
        </w:r>
      </w:hyperlink>
      <w:r>
        <w:rPr>
          <w:sz w:val="24"/>
        </w:rPr>
        <w:t xml:space="preserve"> после слова "консультативно-диагностических" дополнить словом ", клинико-диагностических";</w:t>
      </w:r>
    </w:p>
    <w:p>
      <w:pPr>
        <w:pStyle w:val="0"/>
        <w:spacing w:before="240" w:lineRule="auto"/>
        <w:ind w:firstLine="540"/>
        <w:jc w:val="both"/>
      </w:pPr>
      <w:hyperlink w:history="0" r:id="rId33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абзац четырнадцатый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"начальникам управлений дорожного хозяйства, филиалов, участков (дорожно-эксплуатационных), дорожных участков, дистанций (дорожных), являющихся структурными подразделениями Главного управления дорожного хозяйства Министерства обороны, и их заместителям;";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34" w:tooltip="Приказ Министра обороны РФ от 30.09.2024 N 595 (ред. от 07.12.2024) &quot;О системе оплаты труда гражданского персонала (работников) воинских частей и организаций Вооруженных Сил Российской Федерации&quot; (вместе с &quot;Размерами, порядком и условиями установления, в том числе увеличения (повышения) должностных окладов (тарифных ставок) гражданского персонала (работников) воинских частей и организаций Вооруженных Сил Российской Федерации&quot;, &quot;Условиями, размерами и порядком осуществления выплат компенсационного и стимулир ------------ Недействующая редакция {КонсультантПлюс}">
        <w:r>
          <w:rPr>
            <w:sz w:val="24"/>
            <w:color w:val="0000ff"/>
          </w:rPr>
          <w:t xml:space="preserve">абзац первый пункта 27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"27. Гражданскому персоналу воинских частей и организаций устанавливается ежемесячная стимулирующая выплата за интенсивность работы в размере 160 процентов размера тарифной ставки по IV группе размеров тарифных ставок рабочих.".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08.12.2025 N 801</w:t>
            <w:br/>
            <w:t>"О внесении изменений в приложения N 1 и 2 к приказу Министра обороны Рос...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8125&amp;date=12.01.2026&amp;dst=100271&amp;field=134&amp;demo=2" TargetMode = "External"/><Relationship Id="rId9" Type="http://schemas.openxmlformats.org/officeDocument/2006/relationships/hyperlink" Target="https://login.consultant.ru/link/?req=doc&amp;base=LAW&amp;n=518293&amp;date=12.01.2026&amp;dst=810&amp;field=134&amp;demo=2" TargetMode = "External"/><Relationship Id="rId10" Type="http://schemas.openxmlformats.org/officeDocument/2006/relationships/hyperlink" Target="https://login.consultant.ru/link/?req=doc&amp;base=LAW&amp;n=520032&amp;date=12.01.2026&amp;demo=2" TargetMode = "External"/><Relationship Id="rId11" Type="http://schemas.openxmlformats.org/officeDocument/2006/relationships/hyperlink" Target="https://login.consultant.ru/link/?req=doc&amp;base=LAW&amp;n=493268&amp;date=12.01.2026&amp;dst=100023&amp;field=134&amp;demo=2" TargetMode = "External"/><Relationship Id="rId12" Type="http://schemas.openxmlformats.org/officeDocument/2006/relationships/hyperlink" Target="https://login.consultant.ru/link/?req=doc&amp;base=LAW&amp;n=493268&amp;date=12.01.2026&amp;dst=65&amp;field=134&amp;demo=2" TargetMode = "External"/><Relationship Id="rId13" Type="http://schemas.openxmlformats.org/officeDocument/2006/relationships/hyperlink" Target="https://login.consultant.ru/link/?req=doc&amp;base=LAW&amp;n=494577&amp;date=12.01.2026&amp;dst=100023&amp;field=134&amp;demo=2" TargetMode = "External"/><Relationship Id="rId14" Type="http://schemas.openxmlformats.org/officeDocument/2006/relationships/hyperlink" Target="https://login.consultant.ru/link/?req=doc&amp;base=LAW&amp;n=494577&amp;date=12.01.2026&amp;dst=108351&amp;field=134&amp;demo=2" TargetMode = "External"/><Relationship Id="rId15" Type="http://schemas.openxmlformats.org/officeDocument/2006/relationships/hyperlink" Target="https://login.consultant.ru/link/?req=doc&amp;base=LAW&amp;n=494577&amp;date=12.01.2026&amp;dst=100023&amp;field=134&amp;demo=2" TargetMode = "External"/><Relationship Id="rId16" Type="http://schemas.openxmlformats.org/officeDocument/2006/relationships/hyperlink" Target="https://login.consultant.ru/link/?req=doc&amp;base=LAW&amp;n=494577&amp;date=12.01.2026&amp;dst=100904&amp;field=134&amp;demo=2" TargetMode = "External"/><Relationship Id="rId17" Type="http://schemas.openxmlformats.org/officeDocument/2006/relationships/hyperlink" Target="https://login.consultant.ru/link/?req=doc&amp;base=LAW&amp;n=494577&amp;date=12.01.2026&amp;dst=103699&amp;field=134&amp;demo=2" TargetMode = "External"/><Relationship Id="rId18" Type="http://schemas.openxmlformats.org/officeDocument/2006/relationships/hyperlink" Target="https://login.consultant.ru/link/?req=doc&amp;base=LAW&amp;n=494577&amp;date=12.01.2026&amp;dst=104220&amp;field=134&amp;demo=2" TargetMode = "External"/><Relationship Id="rId19" Type="http://schemas.openxmlformats.org/officeDocument/2006/relationships/hyperlink" Target="https://login.consultant.ru/link/?req=doc&amp;base=LAW&amp;n=494577&amp;date=12.01.2026&amp;dst=100023&amp;field=134&amp;demo=2" TargetMode = "External"/><Relationship Id="rId20" Type="http://schemas.openxmlformats.org/officeDocument/2006/relationships/hyperlink" Target="https://login.consultant.ru/link/?req=doc&amp;base=LAW&amp;n=494577&amp;date=12.01.2026&amp;dst=105090&amp;field=134&amp;demo=2" TargetMode = "External"/><Relationship Id="rId21" Type="http://schemas.openxmlformats.org/officeDocument/2006/relationships/hyperlink" Target="https://login.consultant.ru/link/?req=doc&amp;base=LAW&amp;n=494577&amp;date=12.01.2026&amp;dst=105090&amp;field=134&amp;demo=2" TargetMode = "External"/><Relationship Id="rId22" Type="http://schemas.openxmlformats.org/officeDocument/2006/relationships/hyperlink" Target="https://login.consultant.ru/link/?req=doc&amp;base=LAW&amp;n=494577&amp;date=12.01.2026&amp;dst=105098&amp;field=134&amp;demo=2" TargetMode = "External"/><Relationship Id="rId23" Type="http://schemas.openxmlformats.org/officeDocument/2006/relationships/hyperlink" Target="https://login.consultant.ru/link/?req=doc&amp;base=LAW&amp;n=494577&amp;date=12.01.2026&amp;dst=105102&amp;field=134&amp;demo=2" TargetMode = "External"/><Relationship Id="rId24" Type="http://schemas.openxmlformats.org/officeDocument/2006/relationships/hyperlink" Target="https://login.consultant.ru/link/?req=doc&amp;base=LAW&amp;n=494577&amp;date=12.01.2026&amp;dst=105104&amp;field=134&amp;demo=2" TargetMode = "External"/><Relationship Id="rId25" Type="http://schemas.openxmlformats.org/officeDocument/2006/relationships/hyperlink" Target="https://login.consultant.ru/link/?req=doc&amp;base=LAW&amp;n=494577&amp;date=12.01.2026&amp;dst=105106&amp;field=134&amp;demo=2" TargetMode = "External"/><Relationship Id="rId26" Type="http://schemas.openxmlformats.org/officeDocument/2006/relationships/hyperlink" Target="https://login.consultant.ru/link/?req=doc&amp;base=LAW&amp;n=494577&amp;date=12.01.2026&amp;dst=105123&amp;field=134&amp;demo=2" TargetMode = "External"/><Relationship Id="rId27" Type="http://schemas.openxmlformats.org/officeDocument/2006/relationships/hyperlink" Target="https://login.consultant.ru/link/?req=doc&amp;base=LAW&amp;n=494577&amp;date=12.01.2026&amp;dst=105135&amp;field=134&amp;demo=2" TargetMode = "External"/><Relationship Id="rId28" Type="http://schemas.openxmlformats.org/officeDocument/2006/relationships/hyperlink" Target="https://login.consultant.ru/link/?req=doc&amp;base=LAW&amp;n=494577&amp;date=12.01.2026&amp;dst=105135&amp;field=134&amp;demo=2" TargetMode = "External"/><Relationship Id="rId29" Type="http://schemas.openxmlformats.org/officeDocument/2006/relationships/hyperlink" Target="https://login.consultant.ru/link/?req=doc&amp;base=LAW&amp;n=494577&amp;date=12.01.2026&amp;dst=108351&amp;field=134&amp;demo=2" TargetMode = "External"/><Relationship Id="rId30" Type="http://schemas.openxmlformats.org/officeDocument/2006/relationships/hyperlink" Target="https://login.consultant.ru/link/?req=doc&amp;base=LAW&amp;n=494577&amp;date=12.01.2026&amp;dst=108488&amp;field=134&amp;demo=2" TargetMode = "External"/><Relationship Id="rId31" Type="http://schemas.openxmlformats.org/officeDocument/2006/relationships/hyperlink" Target="https://login.consultant.ru/link/?req=doc&amp;base=LAW&amp;n=494577&amp;date=12.01.2026&amp;dst=108497&amp;field=134&amp;demo=2" TargetMode = "External"/><Relationship Id="rId32" Type="http://schemas.openxmlformats.org/officeDocument/2006/relationships/hyperlink" Target="https://login.consultant.ru/link/?req=doc&amp;base=LAW&amp;n=494577&amp;date=12.01.2026&amp;dst=108499&amp;field=134&amp;demo=2" TargetMode = "External"/><Relationship Id="rId33" Type="http://schemas.openxmlformats.org/officeDocument/2006/relationships/hyperlink" Target="https://login.consultant.ru/link/?req=doc&amp;base=LAW&amp;n=494577&amp;date=12.01.2026&amp;dst=108501&amp;field=134&amp;demo=2" TargetMode = "External"/><Relationship Id="rId34" Type="http://schemas.openxmlformats.org/officeDocument/2006/relationships/hyperlink" Target="https://login.consultant.ru/link/?req=doc&amp;base=LAW&amp;n=494577&amp;date=12.01.2026&amp;dst=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08.12.2025 N 801
"О внесении изменений в приложения N 1 и 2 к приказу Министра обороны Российской Федерации от 30 сентября 2024 г. N 595 "О системе оплаты труда гражданского персонала (работников) воинских частей и организаций Вооруженных Сил Российской Федерации"
(Зарегистрировано в Минюсте России 30.12.2025 N 84869)</dc:title>
  <dcterms:created xsi:type="dcterms:W3CDTF">2026-01-12T16:26:16Z</dcterms:created>
</cp:coreProperties>
</file>