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МИНИСТЕРСТВО СТРОИТЕЛЬСТВА И ЖИЛИЩНО-КОММУНАЛЬНОГО</w:t>
      </w:r>
    </w:p>
    <w:p>
      <w:pPr>
        <w:pStyle w:val="2"/>
        <w:jc w:val="center"/>
      </w:pPr>
      <w:r>
        <w:rPr>
          <w:sz w:val="24"/>
        </w:rPr>
        <w:t xml:space="preserve">ХОЗЯЙСТВА РОССИЙСКОЙ ФЕДЕРАЦИИ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ПИСЬМО</w:t>
      </w:r>
    </w:p>
    <w:p>
      <w:pPr>
        <w:pStyle w:val="2"/>
        <w:jc w:val="center"/>
      </w:pPr>
      <w:r>
        <w:rPr>
          <w:sz w:val="24"/>
        </w:rPr>
        <w:t xml:space="preserve">от 8 декабря 2025 г. N 34641-ОГ/00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Департамент развития жилищно-коммунального хозяйства Минстроя России рассмотрел обращение и в рамках своей компетенции сообщает следующее.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Действующим законодательством не предусматривается порядок созыва и проведения общего собрания собственников помещений в нежилом здании, а также не определено, какие вопросы можно решать на собрании. Собственники помещений могут сами утвердить этот порядок на общем собрании.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Определить порядок созыва и проведения такого собрания можно, применяя общие нормы Гражданского </w:t>
      </w:r>
      <w:hyperlink w:history="0" r:id="rId7" w:tooltip="&quot;Гражданский кодекс Российской Федерации (часть первая)&quot; от 30.11.1994 N 51-ФЗ (ред. от 31.07.2025, с изм. от 25.11.2025) (с изм. и доп., вступ. в силу с 01.08.2025) {КонсультантПлюс}">
        <w:r>
          <w:rPr>
            <w:sz w:val="24"/>
            <w:color w:val="0000ff"/>
          </w:rPr>
          <w:t xml:space="preserve">кодекса</w:t>
        </w:r>
      </w:hyperlink>
      <w:r>
        <w:rPr>
          <w:sz w:val="24"/>
        </w:rPr>
        <w:t xml:space="preserve"> Российской Федерации (далее - ГК РФ), устанавливающие порядок проведения собраний членов гражданско-правовых сообществ (например, нормы </w:t>
      </w:r>
      <w:hyperlink w:history="0" r:id="rId8" w:tooltip="&quot;Гражданский кодекс Российской Федерации (часть первая)&quot; от 30.11.1994 N 51-ФЗ (ред. от 31.07.2025, с изм. от 25.11.2025) (с изм. и доп., вступ. в силу с 01.08.2025) {КонсультантПлюс}">
        <w:r>
          <w:rPr>
            <w:sz w:val="24"/>
            <w:color w:val="0000ff"/>
          </w:rPr>
          <w:t xml:space="preserve">глава 9.1</w:t>
        </w:r>
      </w:hyperlink>
      <w:r>
        <w:rPr>
          <w:sz w:val="24"/>
        </w:rPr>
        <w:t xml:space="preserve"> ГК РФ, в том числе нормы об оформлении протокола, которые содержит </w:t>
      </w:r>
      <w:hyperlink w:history="0" r:id="rId9" w:tooltip="&quot;Гражданский кодекс Российской Федерации (часть первая)&quot; от 30.11.1994 N 51-ФЗ (ред. от 31.07.2025, с изм. от 25.11.2025) (с изм. и доп., вступ. в силу с 01.08.2025) {КонсультантПлюс}">
        <w:r>
          <w:rPr>
            <w:sz w:val="24"/>
            <w:color w:val="0000ff"/>
          </w:rPr>
          <w:t xml:space="preserve">пункт 3 статьи 181.2</w:t>
        </w:r>
      </w:hyperlink>
      <w:r>
        <w:rPr>
          <w:sz w:val="24"/>
        </w:rPr>
        <w:t xml:space="preserve"> ГК РФ).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Согласно </w:t>
      </w:r>
      <w:hyperlink w:history="0" r:id="rId10" w:tooltip="Постановление Пленума ВАС РФ от 23.07.2009 N 64 &quot;О некоторых вопросах практики рассмотрения споров о правах собственников помещений на общее имущество здания&quot; {КонсультантПлюс}">
        <w:r>
          <w:rPr>
            <w:sz w:val="24"/>
            <w:color w:val="0000ff"/>
          </w:rPr>
          <w:t xml:space="preserve">пункту 1</w:t>
        </w:r>
      </w:hyperlink>
      <w:r>
        <w:rPr>
          <w:sz w:val="24"/>
        </w:rPr>
        <w:t xml:space="preserve"> Постановления Пленума Высшего арбитражного суда Российской Федерации N 64 от 23 июля 2009 года "О некоторых вопросах практики рассмотрения споров о правах собственников помещений на общее имущество здания" отношения собственников помещений, расположенных в нежилом здании, возникающие по поводу общего имущества в таком здании, прямо законом не урегулированы. Поэтому в соответствии с </w:t>
      </w:r>
      <w:hyperlink w:history="0" r:id="rId11" w:tooltip="&quot;Гражданский кодекс Российской Федерации (часть первая)&quot; от 30.11.1994 N 51-ФЗ (ред. от 31.07.2025, с изм. от 25.11.2025) (с изм. и доп., вступ. в силу с 01.08.2025) {КонсультантПлюс}">
        <w:r>
          <w:rPr>
            <w:sz w:val="24"/>
            <w:color w:val="0000ff"/>
          </w:rPr>
          <w:t xml:space="preserve">пунктом 1 статьи 6</w:t>
        </w:r>
      </w:hyperlink>
      <w:r>
        <w:rPr>
          <w:sz w:val="24"/>
        </w:rPr>
        <w:t xml:space="preserve"> ГК РФ к отношениям собственников помещений, расположенных в нежилом здании, возникающим по поводу общего имущества в таком здании, подлежат применению нормы законодательства, регулирующие сходные отношения, в частности </w:t>
      </w:r>
      <w:hyperlink w:history="0" r:id="rId12" w:tooltip="&quot;Гражданский кодекс Российской Федерации (часть первая)&quot; от 30.11.1994 N 51-ФЗ (ред. от 31.07.2025, с изм. от 25.11.2025) (с изм. и доп., вступ. в силу с 01.08.2025) {КонсультантПлюс}">
        <w:r>
          <w:rPr>
            <w:sz w:val="24"/>
            <w:color w:val="0000ff"/>
          </w:rPr>
          <w:t xml:space="preserve">статьи 249</w:t>
        </w:r>
      </w:hyperlink>
      <w:r>
        <w:rPr>
          <w:sz w:val="24"/>
        </w:rPr>
        <w:t xml:space="preserve">, </w:t>
      </w:r>
      <w:hyperlink w:history="0" r:id="rId13" w:tooltip="&quot;Гражданский кодекс Российской Федерации (часть первая)&quot; от 30.11.1994 N 51-ФЗ (ред. от 31.07.2025, с изм. от 25.11.2025) (с изм. и доп., вступ. в силу с 01.08.2025) {КонсультантПлюс}">
        <w:r>
          <w:rPr>
            <w:sz w:val="24"/>
            <w:color w:val="0000ff"/>
          </w:rPr>
          <w:t xml:space="preserve">289</w:t>
        </w:r>
      </w:hyperlink>
      <w:r>
        <w:rPr>
          <w:sz w:val="24"/>
        </w:rPr>
        <w:t xml:space="preserve"> и </w:t>
      </w:r>
      <w:hyperlink w:history="0" r:id="rId14" w:tooltip="&quot;Гражданский кодекс Российской Федерации (часть первая)&quot; от 30.11.1994 N 51-ФЗ (ред. от 31.07.2025, с изм. от 25.11.2025) (с изм. и доп., вступ. в силу с 01.08.2025) {КонсультантПлюс}">
        <w:r>
          <w:rPr>
            <w:sz w:val="24"/>
            <w:color w:val="0000ff"/>
          </w:rPr>
          <w:t xml:space="preserve">290</w:t>
        </w:r>
      </w:hyperlink>
      <w:r>
        <w:rPr>
          <w:sz w:val="24"/>
        </w:rPr>
        <w:t xml:space="preserve"> ГК РФ, а также </w:t>
      </w:r>
      <w:hyperlink w:history="0" r:id="rId15" w:tooltip="&quot;Жилищный кодекс Российской Федерации&quot; от 29.12.2004 N 188-ФЗ (ред. от 29.12.2025) {КонсультантПлюс}">
        <w:r>
          <w:rPr>
            <w:sz w:val="24"/>
            <w:color w:val="0000ff"/>
          </w:rPr>
          <w:t xml:space="preserve">статьи 44</w:t>
        </w:r>
      </w:hyperlink>
      <w:r>
        <w:rPr>
          <w:sz w:val="24"/>
        </w:rPr>
        <w:t xml:space="preserve"> - </w:t>
      </w:r>
      <w:hyperlink w:history="0" r:id="rId16" w:tooltip="&quot;Жилищный кодекс Российской Федерации&quot; от 29.12.2004 N 188-ФЗ (ред. от 29.12.2025) {КонсультантПлюс}">
        <w:r>
          <w:rPr>
            <w:sz w:val="24"/>
            <w:color w:val="0000ff"/>
          </w:rPr>
          <w:t xml:space="preserve">48</w:t>
        </w:r>
      </w:hyperlink>
      <w:r>
        <w:rPr>
          <w:sz w:val="24"/>
        </w:rPr>
        <w:t xml:space="preserve"> ЖК РФ.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Таким образом, к отношениям собственников помещений, расположенных в нежилом здании, возникающим по поводу общего имущества в таком здании, подлежат применению нормы законодательства, регулирующие сходные отношения, в частности, </w:t>
      </w:r>
      <w:hyperlink w:history="0" r:id="rId17" w:tooltip="&quot;Гражданский кодекс Российской Федерации (часть первая)&quot; от 30.11.1994 N 51-ФЗ (ред. от 31.07.2025, с изм. от 25.11.2025) (с изм. и доп., вступ. в силу с 01.08.2025) {КонсультантПлюс}">
        <w:r>
          <w:rPr>
            <w:sz w:val="24"/>
            <w:color w:val="0000ff"/>
          </w:rPr>
          <w:t xml:space="preserve">статьи 249</w:t>
        </w:r>
      </w:hyperlink>
      <w:r>
        <w:rPr>
          <w:sz w:val="24"/>
        </w:rPr>
        <w:t xml:space="preserve">, </w:t>
      </w:r>
      <w:hyperlink w:history="0" r:id="rId18" w:tooltip="&quot;Гражданский кодекс Российской Федерации (часть первая)&quot; от 30.11.1994 N 51-ФЗ (ред. от 31.07.2025, с изм. от 25.11.2025) (с изм. и доп., вступ. в силу с 01.08.2025) {КонсультантПлюс}">
        <w:r>
          <w:rPr>
            <w:sz w:val="24"/>
            <w:color w:val="0000ff"/>
          </w:rPr>
          <w:t xml:space="preserve">289</w:t>
        </w:r>
      </w:hyperlink>
      <w:r>
        <w:rPr>
          <w:sz w:val="24"/>
        </w:rPr>
        <w:t xml:space="preserve"> и </w:t>
      </w:r>
      <w:hyperlink w:history="0" r:id="rId19" w:tooltip="&quot;Гражданский кодекс Российской Федерации (часть первая)&quot; от 30.11.1994 N 51-ФЗ (ред. от 31.07.2025, с изм. от 25.11.2025) (с изм. и доп., вступ. в силу с 01.08.2025) {КонсультантПлюс}">
        <w:r>
          <w:rPr>
            <w:sz w:val="24"/>
            <w:color w:val="0000ff"/>
          </w:rPr>
          <w:t xml:space="preserve">290</w:t>
        </w:r>
      </w:hyperlink>
      <w:r>
        <w:rPr>
          <w:sz w:val="24"/>
        </w:rPr>
        <w:t xml:space="preserve"> ГК РФ и </w:t>
      </w:r>
      <w:hyperlink w:history="0" r:id="rId20" w:tooltip="&quot;Жилищный кодекс Российской Федерации&quot; от 29.12.2004 N 188-ФЗ (ред. от 29.12.2025) {КонсультантПлюс}">
        <w:r>
          <w:rPr>
            <w:sz w:val="24"/>
            <w:color w:val="0000ff"/>
          </w:rPr>
          <w:t xml:space="preserve">44</w:t>
        </w:r>
      </w:hyperlink>
      <w:r>
        <w:rPr>
          <w:sz w:val="24"/>
        </w:rPr>
        <w:t xml:space="preserve"> - </w:t>
      </w:r>
      <w:hyperlink w:history="0" r:id="rId21" w:tooltip="&quot;Жилищный кодекс Российской Федерации&quot; от 29.12.2004 N 188-ФЗ (ред. от 29.12.2025) {КонсультантПлюс}">
        <w:r>
          <w:rPr>
            <w:sz w:val="24"/>
            <w:color w:val="0000ff"/>
          </w:rPr>
          <w:t xml:space="preserve">48</w:t>
        </w:r>
      </w:hyperlink>
      <w:r>
        <w:rPr>
          <w:sz w:val="24"/>
        </w:rPr>
        <w:t xml:space="preserve"> ЖК РФ (</w:t>
      </w:r>
      <w:hyperlink w:history="0" r:id="rId22" w:tooltip="Постановление Пленума Верховного Суда РФ от 23.06.2015 N 25 &quot;О применении судами некоторых положений раздела I части первой Гражданского кодекса Российской Федерации&quot; {КонсультантПлюс}">
        <w:r>
          <w:rPr>
            <w:sz w:val="24"/>
            <w:color w:val="0000ff"/>
          </w:rPr>
          <w:t xml:space="preserve">пункт 41</w:t>
        </w:r>
      </w:hyperlink>
      <w:r>
        <w:rPr>
          <w:sz w:val="24"/>
        </w:rPr>
        <w:t xml:space="preserve"> постановления Пленума Верховного Суда Российской Федерации от 23 июня 2015 г. N 25).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Приказом Минстроя России от 30 апреля 2025 г. N 266/пр (далее - приказ N 266/пр) утверждены </w:t>
      </w:r>
      <w:hyperlink w:history="0" r:id="rId23" w:tooltip="Приказ Минстроя России от 30.04.2025 N 266/пр &quot;Об утверждении Требований к оформлению протокола общего собрания собственников помещений в многоквартирном доме и Порядка направления подлинников решений и протокола общего собрания собственников помещений в многоквартирном доме в уполномоченный исполнительный орган субъекта Российской Федерации, осуществляющий государственный жилищный надзор&quot; (Зарегистрировано в Минюсте России 30.05.2025 N 82451) {КонсультантПлюс}">
        <w:r>
          <w:rPr>
            <w:sz w:val="24"/>
            <w:color w:val="0000ff"/>
          </w:rPr>
          <w:t xml:space="preserve">требования</w:t>
        </w:r>
      </w:hyperlink>
      <w:r>
        <w:rPr>
          <w:sz w:val="24"/>
        </w:rPr>
        <w:t xml:space="preserve"> к оформлению протокола общего собрания собственников помещений в многоквартирном доме и </w:t>
      </w:r>
      <w:hyperlink w:history="0" r:id="rId24" w:tooltip="Приказ Минстроя России от 30.04.2025 N 266/пр &quot;Об утверждении Требований к оформлению протокола общего собрания собственников помещений в многоквартирном доме и Порядка направления подлинников решений и протокола общего собрания собственников помещений в многоквартирном доме в уполномоченный исполнительный орган субъекта Российской Федерации, осуществляющий государственный жилищный надзор&quot; (Зарегистрировано в Минюсте России 30.05.2025 N 82451) {КонсультантПлюс}">
        <w:r>
          <w:rPr>
            <w:sz w:val="24"/>
            <w:color w:val="0000ff"/>
          </w:rPr>
          <w:t xml:space="preserve">порядок</w:t>
        </w:r>
      </w:hyperlink>
      <w:r>
        <w:rPr>
          <w:sz w:val="24"/>
        </w:rPr>
        <w:t xml:space="preserve"> направления такого протокола в орган государственного жилищного надзора субъекта Российской Федерации. Жилищное законодательство не определяет понятие "общее собрание собственников в нежилых зданиях", не устанавливает полномочий и требований к порядку проведения собрания собственников в нежилых зданиях.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Таким образом, </w:t>
      </w:r>
      <w:hyperlink w:history="0" r:id="rId25" w:tooltip="Приказ Минстроя России от 30.04.2025 N 266/пр &quot;Об утверждении Требований к оформлению протокола общего собрания собственников помещений в многоквартирном доме и Порядка направления подлинников решений и протокола общего собрания собственников помещений в многоквартирном доме в уполномоченный исполнительный орган субъекта Российской Федерации, осуществляющий государственный жилищный надзор&quot; (Зарегистрировано в Минюсте России 30.05.2025 N 82451) {КонсультантПлюс}">
        <w:r>
          <w:rPr>
            <w:sz w:val="24"/>
            <w:color w:val="0000ff"/>
          </w:rPr>
          <w:t xml:space="preserve">приказ</w:t>
        </w:r>
      </w:hyperlink>
      <w:r>
        <w:rPr>
          <w:sz w:val="24"/>
        </w:rPr>
        <w:t xml:space="preserve"> N 266/пр подлежит применению при оформлении протокола исключительно общего собрания собственников помещений в многоквартирном доме и не применяется при проведении собраний собственников жилых домов в нежилых зданиях.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Также считаем необходимым отметить, что в соответствии с положениями Федерального </w:t>
      </w:r>
      <w:hyperlink w:history="0" r:id="rId26" w:tooltip="Федеральный закон от 27.07.2006 N 152-ФЗ (ред. от 24.06.2025) &quot;О персональных данных&quot; {КонсультантПлюс}">
        <w:r>
          <w:rPr>
            <w:sz w:val="24"/>
            <w:color w:val="0000ff"/>
          </w:rPr>
          <w:t xml:space="preserve">закона</w:t>
        </w:r>
      </w:hyperlink>
      <w:r>
        <w:rPr>
          <w:sz w:val="24"/>
        </w:rPr>
        <w:t xml:space="preserve"> от 27 июля 2006 г. N 152-ФЗ "О персональных данных" (далее - Федеральный закон N 152) персональные данные - это любая информация, относящаяся к прямо или косвенно определенному, или определяемому физическому лицу.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силу </w:t>
      </w:r>
      <w:hyperlink w:history="0" r:id="rId27" w:tooltip="Федеральный закон от 27.07.2006 N 152-ФЗ (ред. от 24.06.2025) &quot;О персональных данных&quot; {КонсультантПлюс}">
        <w:r>
          <w:rPr>
            <w:sz w:val="24"/>
            <w:color w:val="0000ff"/>
          </w:rPr>
          <w:t xml:space="preserve">пункта 2 статьи 3</w:t>
        </w:r>
      </w:hyperlink>
      <w:r>
        <w:rPr>
          <w:sz w:val="24"/>
        </w:rPr>
        <w:t xml:space="preserve"> Федерального закона N 152-ФЗ управляющая организация является оператором по обработке персональных данных.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соответствии с </w:t>
      </w:r>
      <w:hyperlink w:history="0" r:id="rId28" w:tooltip="Федеральный закон от 27.07.2006 N 152-ФЗ (ред. от 24.06.2025) &quot;О персональных данных&quot; {КонсультантПлюс}">
        <w:r>
          <w:rPr>
            <w:sz w:val="24"/>
            <w:color w:val="0000ff"/>
          </w:rPr>
          <w:t xml:space="preserve">частью 1 статьи 6</w:t>
        </w:r>
      </w:hyperlink>
      <w:r>
        <w:rPr>
          <w:sz w:val="24"/>
        </w:rPr>
        <w:t xml:space="preserve"> Федерального закона N 152 обработка персональных данных должна осуществляться с соблюдением принципов и правил, предусмотренных Федеральным </w:t>
      </w:r>
      <w:hyperlink w:history="0" r:id="rId29" w:tooltip="Федеральный закон от 27.07.2006 N 152-ФЗ (ред. от 24.06.2025) &quot;О персональных данных&quot; {КонсультантПлюс}">
        <w:r>
          <w:rPr>
            <w:sz w:val="24"/>
            <w:color w:val="0000ff"/>
          </w:rPr>
          <w:t xml:space="preserve">законом</w:t>
        </w:r>
      </w:hyperlink>
      <w:r>
        <w:rPr>
          <w:sz w:val="24"/>
        </w:rPr>
        <w:t xml:space="preserve"> N 152. Согласно </w:t>
      </w:r>
      <w:hyperlink w:history="0" r:id="rId30" w:tooltip="Федеральный закон от 27.07.2006 N 152-ФЗ (ред. от 24.06.2025) &quot;О персональных данных&quot; {КонсультантПлюс}">
        <w:r>
          <w:rPr>
            <w:sz w:val="24"/>
            <w:color w:val="0000ff"/>
          </w:rPr>
          <w:t xml:space="preserve">пунктам 2</w:t>
        </w:r>
      </w:hyperlink>
      <w:r>
        <w:rPr>
          <w:sz w:val="24"/>
        </w:rPr>
        <w:t xml:space="preserve">, </w:t>
      </w:r>
      <w:hyperlink w:history="0" r:id="rId31" w:tooltip="Федеральный закон от 27.07.2006 N 152-ФЗ (ред. от 24.06.2025) &quot;О персональных данных&quot; {КонсультантПлюс}">
        <w:r>
          <w:rPr>
            <w:sz w:val="24"/>
            <w:color w:val="0000ff"/>
          </w:rPr>
          <w:t xml:space="preserve">7</w:t>
        </w:r>
      </w:hyperlink>
      <w:r>
        <w:rPr>
          <w:sz w:val="24"/>
        </w:rPr>
        <w:t xml:space="preserve"> и </w:t>
      </w:r>
      <w:hyperlink w:history="0" r:id="rId32" w:tooltip="Федеральный закон от 27.07.2006 N 152-ФЗ (ред. от 24.06.2025) &quot;О персональных данных&quot; {КонсультантПлюс}">
        <w:r>
          <w:rPr>
            <w:sz w:val="24"/>
            <w:color w:val="0000ff"/>
          </w:rPr>
          <w:t xml:space="preserve">11</w:t>
        </w:r>
      </w:hyperlink>
      <w:r>
        <w:rPr>
          <w:sz w:val="24"/>
        </w:rPr>
        <w:t xml:space="preserve"> указанной нормы Федерального закона N 152 обработка персональных данных допускается в следующих случаях: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- обработка персональных данных необходима для достижения целей, предусмотренных международным договором Российской Федерации или законом, для осуществления и выполнения возложенных законодательством Российской Федерации на оператора функций, полномочий и обязанностей;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- обработка персональных данных необходима для осуществления прав и законных интересов оператора или третьих лиц, либо для достижения общественно значимых целей при условии, что при этом не нарушаются права и свободы субъекта персональных данных;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- осуществляется обработка персональных данных, подлежащих опубликованию или обязательному раскрытию в соответствии с федеральным законом.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указанных случаях обработка персональных данных может осуществляться без согласия субъекта персональных данных.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соответствии с </w:t>
      </w:r>
      <w:hyperlink w:history="0" r:id="rId33" w:tooltip="Федеральный закон от 27.07.2006 N 152-ФЗ (ред. от 24.06.2025) &quot;О персональных данных&quot; {КонсультантПлюс}">
        <w:r>
          <w:rPr>
            <w:sz w:val="24"/>
            <w:color w:val="0000ff"/>
          </w:rPr>
          <w:t xml:space="preserve">частью 2 статьи 18</w:t>
        </w:r>
      </w:hyperlink>
      <w:r>
        <w:rPr>
          <w:sz w:val="24"/>
        </w:rPr>
        <w:t xml:space="preserve"> Федерального закона N 152, если в соответствии с федеральным законом предоставление персональных данных является обязательным, оператор обязан разъяснить субъекту персональных данных юридические последствия отказа предоставить его персональные данные.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Лицо, осуществляющее обработку персональных данных, обязано соблюдать принципы и правила обработки персональных данных, предусмотренные </w:t>
      </w:r>
      <w:hyperlink w:history="0" r:id="rId34" w:tooltip="Федеральный закон от 27.07.2006 N 152-ФЗ (ред. от 24.06.2025) &quot;О персональных данных&quot; {КонсультантПлюс}">
        <w:r>
          <w:rPr>
            <w:sz w:val="24"/>
            <w:color w:val="0000ff"/>
          </w:rPr>
          <w:t xml:space="preserve">Законом</w:t>
        </w:r>
      </w:hyperlink>
      <w:r>
        <w:rPr>
          <w:sz w:val="24"/>
        </w:rPr>
        <w:t xml:space="preserve"> N 152-ФЗ, соблюдать конфиденциальность персональных данных, принимать необходимые меры, направленные на обеспечение выполнения обязанностей, предусмотренных Федеральным </w:t>
      </w:r>
      <w:hyperlink w:history="0" r:id="rId35" w:tooltip="Федеральный закон от 27.07.2006 N 152-ФЗ (ред. от 24.06.2025) &quot;О персональных данных&quot; {КонсультантПлюс}">
        <w:r>
          <w:rPr>
            <w:sz w:val="24"/>
            <w:color w:val="0000ff"/>
          </w:rPr>
          <w:t xml:space="preserve">законом</w:t>
        </w:r>
      </w:hyperlink>
      <w:r>
        <w:rPr>
          <w:sz w:val="24"/>
        </w:rPr>
        <w:t xml:space="preserve"> N 152-ФЗ.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Поскольку при организации и проведении собрания инициатор такого собрания неизбежно обрабатывает персональные данные собственников, то он должен исполнить обязанности оператора персональных данных, предусмотренные Федеральным </w:t>
      </w:r>
      <w:hyperlink w:history="0" r:id="rId36" w:tooltip="Федеральный закон от 27.07.2006 N 152-ФЗ (ред. от 24.06.2025) &quot;О персональных данных&quot; {КонсультантПлюс}">
        <w:r>
          <w:rPr>
            <w:sz w:val="24"/>
            <w:color w:val="0000ff"/>
          </w:rPr>
          <w:t xml:space="preserve">законом</w:t>
        </w:r>
      </w:hyperlink>
      <w:r>
        <w:rPr>
          <w:sz w:val="24"/>
        </w:rPr>
        <w:t xml:space="preserve"> N 152-ФЗ.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Отметим, что нарушение законодательства о персональных данных при проведении общего собрания само по себе не влияет на законность и действительность итогов такого общего собрания, однако может повлечь административную ответственность для инициатора, который проигнорировал соответствующие требования закона.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При нарушении требований закона </w:t>
      </w:r>
      <w:hyperlink w:history="0" r:id="rId37" w:tooltip="Федеральный закон от 27.07.2006 N 152-ФЗ (ред. от 24.06.2025) &quot;О персональных данных&quot; {КонсультантПлюс}">
        <w:r>
          <w:rPr>
            <w:sz w:val="24"/>
            <w:color w:val="0000ff"/>
          </w:rPr>
          <w:t xml:space="preserve">статьей 24</w:t>
        </w:r>
      </w:hyperlink>
      <w:r>
        <w:rPr>
          <w:sz w:val="24"/>
        </w:rPr>
        <w:t xml:space="preserve"> Закона N 152-ФЗ предусмотрено, что лица, виновные в нарушении требований настоящего Федерального закона, несут предусмотренную законодательством Российской Федерации ответственность.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При нарушениях (использовании персональных данных в других целях или при нарушении </w:t>
      </w:r>
      <w:hyperlink w:history="0" r:id="rId38" w:tooltip="Федеральный закон от 27.07.2006 N 152-ФЗ (ред. от 24.06.2025) &quot;О персональных данных&quot; {КонсультантПлюс}">
        <w:r>
          <w:rPr>
            <w:sz w:val="24"/>
            <w:color w:val="0000ff"/>
          </w:rPr>
          <w:t xml:space="preserve">закона</w:t>
        </w:r>
      </w:hyperlink>
      <w:r>
        <w:rPr>
          <w:sz w:val="24"/>
        </w:rPr>
        <w:t xml:space="preserve"> N 152-ФЗ при проведении общего собрания) у инициатора наступает административная ответственность, предусмотренная </w:t>
      </w:r>
      <w:hyperlink w:history="0" r:id="rId39" w:tooltip="&quot;Кодекс Российской Федерации об административных правонарушениях&quot; от 30.12.2001 N 195-ФЗ (ред. от 29.12.2025) (с изм. и доп., вступ. в силу с 09.01.2026) {КонсультантПлюс}">
        <w:r>
          <w:rPr>
            <w:sz w:val="24"/>
            <w:color w:val="0000ff"/>
          </w:rPr>
          <w:t xml:space="preserve">статьей 13.11</w:t>
        </w:r>
      </w:hyperlink>
      <w:r>
        <w:rPr>
          <w:sz w:val="24"/>
        </w:rPr>
        <w:t xml:space="preserve"> Кодекса об административных правонарушениях Российской Федерации (КоАП РФ).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За дополнительными разъяснениями по вопросам предоставления и обработки персональных данных вправе обратиться в Роскомнадзор.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Дополнительно сообщаем, что письма Минстроя России и его структурных подразделений, в которых разъясняются вопросы применения нормативных правовых актов, не содержат правовых норм, не направлены на установление, изменение или отмену правовых норм, а содержащиеся в них разъяснения не могут рассматриваться в качестве общеобязательных государственных предписаний постоянного или временного характера.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Заместитель директора</w:t>
      </w:r>
    </w:p>
    <w:p>
      <w:pPr>
        <w:pStyle w:val="0"/>
        <w:jc w:val="right"/>
      </w:pPr>
      <w:r>
        <w:rPr>
          <w:sz w:val="24"/>
        </w:rPr>
        <w:t xml:space="preserve">Департамента развития</w:t>
      </w:r>
    </w:p>
    <w:p>
      <w:pPr>
        <w:pStyle w:val="0"/>
        <w:jc w:val="right"/>
      </w:pPr>
      <w:r>
        <w:rPr>
          <w:sz w:val="24"/>
        </w:rPr>
        <w:t xml:space="preserve">жилищно-коммунального хозяйства</w:t>
      </w:r>
    </w:p>
    <w:p>
      <w:pPr>
        <w:pStyle w:val="0"/>
        <w:jc w:val="right"/>
      </w:pPr>
      <w:r>
        <w:rPr>
          <w:sz w:val="24"/>
        </w:rPr>
        <w:t xml:space="preserve">А.В.РАДЬКО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3"/>
      <w:headerReference w:type="first" r:id="rId4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&lt;Письмо&gt; Минстроя России от 08.12.2025 N 34641-ОГ/00</w:t>
            <w:br/>
            <w:t>&lt;О порядке созыва и проведения общего собрания собственников помеще...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13.01.2026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header2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drawing>
              <wp:inline distT="0" distB="0" distL="0" distR="0">
                <wp:extent cx="1910715" cy="445770"/>
                <wp:effectExtent l="0" t="0" r="0" b="0"/>
                <wp:docPr id="1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 preferRelativeResize="0"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10715" cy="445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&lt;Письмо&gt; Минстроя России от 08.12.2025 N 34641-ОГ/00 &lt;О порядке созыва и проведения общего собрания собственников помеще...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13.01.2026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ettings.xml><?xml version="1.0" encoding="utf-8"?>
<w:settings xmlns:w="http://schemas.openxmlformats.org/wordprocessingml/2006/main">
  <w:themeFontLang w:val="ru-RU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  <w:rPrDefault>
      <w:rPr>
        <w:lang w:val="ru-RU" w:eastAsia="ru-RU" w:bidi="ar-SA"/>
      </w:rPr>
    </w:r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settings" Target="word/settings.xml"/><Relationship Id="rId2" Type="http://schemas.openxmlformats.org/officeDocument/2006/relationships/styles" Target="styles.xml"/><Relationship Id="rId3" Type="http://schemas.openxmlformats.org/officeDocument/2006/relationships/header" Target="header1.xml"/><Relationship Id="rId4" Type="http://schemas.openxmlformats.org/officeDocument/2006/relationships/header" Target="header2.xml"/><Relationship Id="rId5" Type="http://schemas.openxmlformats.org/officeDocument/2006/relationships/image" Target="media/image1.png"/><Relationship Id="rId6" Type="http://schemas.openxmlformats.org/officeDocument/2006/relationships/footer" Target="footer1.xml"/><Relationship Id="rId7" Type="http://schemas.openxmlformats.org/officeDocument/2006/relationships/hyperlink" Target="https://login.consultant.ru/link/?req=doc&amp;base=LAW&amp;n=508490&amp;date=13.01.2026&amp;demo=2" TargetMode = "External"/><Relationship Id="rId8" Type="http://schemas.openxmlformats.org/officeDocument/2006/relationships/hyperlink" Target="https://login.consultant.ru/link/?req=doc&amp;base=LAW&amp;n=508490&amp;date=13.01.2026&amp;dst=411&amp;field=134&amp;demo=2" TargetMode = "External"/><Relationship Id="rId9" Type="http://schemas.openxmlformats.org/officeDocument/2006/relationships/hyperlink" Target="https://login.consultant.ru/link/?req=doc&amp;base=LAW&amp;n=508490&amp;date=13.01.2026&amp;dst=102289&amp;field=134&amp;demo=2" TargetMode = "External"/><Relationship Id="rId10" Type="http://schemas.openxmlformats.org/officeDocument/2006/relationships/hyperlink" Target="https://login.consultant.ru/link/?req=doc&amp;base=LAW&amp;n=90278&amp;date=13.01.2026&amp;dst=100005&amp;field=134&amp;demo=2" TargetMode = "External"/><Relationship Id="rId11" Type="http://schemas.openxmlformats.org/officeDocument/2006/relationships/hyperlink" Target="https://login.consultant.ru/link/?req=doc&amp;base=LAW&amp;n=508490&amp;date=13.01.2026&amp;dst=239&amp;field=134&amp;demo=2" TargetMode = "External"/><Relationship Id="rId12" Type="http://schemas.openxmlformats.org/officeDocument/2006/relationships/hyperlink" Target="https://login.consultant.ru/link/?req=doc&amp;base=LAW&amp;n=508490&amp;date=13.01.2026&amp;dst=11252&amp;field=134&amp;demo=2" TargetMode = "External"/><Relationship Id="rId13" Type="http://schemas.openxmlformats.org/officeDocument/2006/relationships/hyperlink" Target="https://login.consultant.ru/link/?req=doc&amp;base=LAW&amp;n=508490&amp;date=13.01.2026&amp;dst=101468&amp;field=134&amp;demo=2" TargetMode = "External"/><Relationship Id="rId14" Type="http://schemas.openxmlformats.org/officeDocument/2006/relationships/hyperlink" Target="https://login.consultant.ru/link/?req=doc&amp;base=LAW&amp;n=508490&amp;date=13.01.2026&amp;dst=11231&amp;field=134&amp;demo=2" TargetMode = "External"/><Relationship Id="rId15" Type="http://schemas.openxmlformats.org/officeDocument/2006/relationships/hyperlink" Target="https://login.consultant.ru/link/?req=doc&amp;base=LAW&amp;n=523355&amp;date=13.01.2026&amp;dst=100306&amp;field=134&amp;demo=2" TargetMode = "External"/><Relationship Id="rId16" Type="http://schemas.openxmlformats.org/officeDocument/2006/relationships/hyperlink" Target="https://login.consultant.ru/link/?req=doc&amp;base=LAW&amp;n=523355&amp;date=13.01.2026&amp;dst=100340&amp;field=134&amp;demo=2" TargetMode = "External"/><Relationship Id="rId17" Type="http://schemas.openxmlformats.org/officeDocument/2006/relationships/hyperlink" Target="https://login.consultant.ru/link/?req=doc&amp;base=LAW&amp;n=508490&amp;date=13.01.2026&amp;dst=11252&amp;field=134&amp;demo=2" TargetMode = "External"/><Relationship Id="rId18" Type="http://schemas.openxmlformats.org/officeDocument/2006/relationships/hyperlink" Target="https://login.consultant.ru/link/?req=doc&amp;base=LAW&amp;n=508490&amp;date=13.01.2026&amp;dst=101468&amp;field=134&amp;demo=2" TargetMode = "External"/><Relationship Id="rId19" Type="http://schemas.openxmlformats.org/officeDocument/2006/relationships/hyperlink" Target="https://login.consultant.ru/link/?req=doc&amp;base=LAW&amp;n=508490&amp;date=13.01.2026&amp;dst=11231&amp;field=134&amp;demo=2" TargetMode = "External"/><Relationship Id="rId20" Type="http://schemas.openxmlformats.org/officeDocument/2006/relationships/hyperlink" Target="https://login.consultant.ru/link/?req=doc&amp;base=LAW&amp;n=523355&amp;date=13.01.2026&amp;dst=100306&amp;field=134&amp;demo=2" TargetMode = "External"/><Relationship Id="rId21" Type="http://schemas.openxmlformats.org/officeDocument/2006/relationships/hyperlink" Target="https://login.consultant.ru/link/?req=doc&amp;base=LAW&amp;n=523355&amp;date=13.01.2026&amp;dst=100340&amp;field=134&amp;demo=2" TargetMode = "External"/><Relationship Id="rId22" Type="http://schemas.openxmlformats.org/officeDocument/2006/relationships/hyperlink" Target="https://login.consultant.ru/link/?req=doc&amp;base=LAW&amp;n=181602&amp;date=13.01.2026&amp;dst=100119&amp;field=134&amp;demo=2" TargetMode = "External"/><Relationship Id="rId23" Type="http://schemas.openxmlformats.org/officeDocument/2006/relationships/hyperlink" Target="https://login.consultant.ru/link/?req=doc&amp;base=LAW&amp;n=506700&amp;date=13.01.2026&amp;dst=100015&amp;field=134&amp;demo=2" TargetMode = "External"/><Relationship Id="rId24" Type="http://schemas.openxmlformats.org/officeDocument/2006/relationships/hyperlink" Target="https://login.consultant.ru/link/?req=doc&amp;base=LAW&amp;n=506700&amp;date=13.01.2026&amp;dst=100089&amp;field=134&amp;demo=2" TargetMode = "External"/><Relationship Id="rId25" Type="http://schemas.openxmlformats.org/officeDocument/2006/relationships/hyperlink" Target="https://login.consultant.ru/link/?req=doc&amp;base=LAW&amp;n=506700&amp;date=13.01.2026&amp;demo=2" TargetMode = "External"/><Relationship Id="rId26" Type="http://schemas.openxmlformats.org/officeDocument/2006/relationships/hyperlink" Target="https://login.consultant.ru/link/?req=doc&amp;base=LAW&amp;n=499769&amp;date=13.01.2026&amp;demo=2" TargetMode = "External"/><Relationship Id="rId27" Type="http://schemas.openxmlformats.org/officeDocument/2006/relationships/hyperlink" Target="https://login.consultant.ru/link/?req=doc&amp;base=LAW&amp;n=499769&amp;date=13.01.2026&amp;dst=100238&amp;field=134&amp;demo=2" TargetMode = "External"/><Relationship Id="rId28" Type="http://schemas.openxmlformats.org/officeDocument/2006/relationships/hyperlink" Target="https://login.consultant.ru/link/?req=doc&amp;base=LAW&amp;n=499769&amp;date=13.01.2026&amp;dst=100258&amp;field=134&amp;demo=2" TargetMode = "External"/><Relationship Id="rId29" Type="http://schemas.openxmlformats.org/officeDocument/2006/relationships/hyperlink" Target="https://login.consultant.ru/link/?req=doc&amp;base=LAW&amp;n=499769&amp;date=13.01.2026&amp;demo=2" TargetMode = "External"/><Relationship Id="rId30" Type="http://schemas.openxmlformats.org/officeDocument/2006/relationships/hyperlink" Target="https://login.consultant.ru/link/?req=doc&amp;base=LAW&amp;n=499769&amp;date=13.01.2026&amp;dst=100260&amp;field=134&amp;demo=2" TargetMode = "External"/><Relationship Id="rId31" Type="http://schemas.openxmlformats.org/officeDocument/2006/relationships/hyperlink" Target="https://login.consultant.ru/link/?req=doc&amp;base=LAW&amp;n=499769&amp;date=13.01.2026&amp;dst=18&amp;field=134&amp;demo=2" TargetMode = "External"/><Relationship Id="rId32" Type="http://schemas.openxmlformats.org/officeDocument/2006/relationships/hyperlink" Target="https://login.consultant.ru/link/?req=doc&amp;base=LAW&amp;n=499769&amp;date=13.01.2026&amp;dst=100269&amp;field=134&amp;demo=2" TargetMode = "External"/><Relationship Id="rId33" Type="http://schemas.openxmlformats.org/officeDocument/2006/relationships/hyperlink" Target="https://login.consultant.ru/link/?req=doc&amp;base=LAW&amp;n=499769&amp;date=13.01.2026&amp;dst=72&amp;field=134&amp;demo=2" TargetMode = "External"/><Relationship Id="rId34" Type="http://schemas.openxmlformats.org/officeDocument/2006/relationships/hyperlink" Target="https://login.consultant.ru/link/?req=doc&amp;base=LAW&amp;n=499769&amp;date=13.01.2026&amp;demo=2" TargetMode = "External"/><Relationship Id="rId35" Type="http://schemas.openxmlformats.org/officeDocument/2006/relationships/hyperlink" Target="https://login.consultant.ru/link/?req=doc&amp;base=LAW&amp;n=499769&amp;date=13.01.2026&amp;demo=2" TargetMode = "External"/><Relationship Id="rId36" Type="http://schemas.openxmlformats.org/officeDocument/2006/relationships/hyperlink" Target="https://login.consultant.ru/link/?req=doc&amp;base=LAW&amp;n=499769&amp;date=13.01.2026&amp;demo=2" TargetMode = "External"/><Relationship Id="rId37" Type="http://schemas.openxmlformats.org/officeDocument/2006/relationships/hyperlink" Target="https://login.consultant.ru/link/?req=doc&amp;base=LAW&amp;n=499769&amp;date=13.01.2026&amp;dst=100213&amp;field=134&amp;demo=2" TargetMode = "External"/><Relationship Id="rId38" Type="http://schemas.openxmlformats.org/officeDocument/2006/relationships/hyperlink" Target="https://login.consultant.ru/link/?req=doc&amp;base=LAW&amp;n=499769&amp;date=13.01.2026&amp;demo=2" TargetMode = "External"/><Relationship Id="rId39" Type="http://schemas.openxmlformats.org/officeDocument/2006/relationships/hyperlink" Target="https://login.consultant.ru/link/?req=doc&amp;base=LAW&amp;n=523865&amp;date=13.01.2026&amp;dst=7755&amp;field=134&amp;demo=2" TargetMode = "External"/></Relationships>
</file>

<file path=word/_rels/foot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2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Relationship Id="rId2" Type="http://schemas.openxmlformats.org/officeDocument/2006/relationships/image" Target="media/image1.png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4025.00.30</Application>
  <Company>КонсультантПлюс Версия 4025.00.30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&lt;Письмо&gt; Минстроя России от 08.12.2025 N 34641-ОГ/00
&lt;О порядке созыва и проведения общего собрания собственников помещений в нежилом здании&gt;</dc:title>
  <dcterms:created xsi:type="dcterms:W3CDTF">2026-01-13T12:40:55Z</dcterms:created>
</cp:coreProperties>
</file>