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15 января 2026 г. N 475-ОГ/00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обращение, поступившее письмом, 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42</w:t>
        </w:r>
      </w:hyperlink>
      <w:r>
        <w:rPr>
          <w:sz w:val="24"/>
        </w:rPr>
        <w:t xml:space="preserve">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утвержденных постановлением Правительства Российской Федерации от 6 мая 2011 г. N 354 (далее - Правила N 354), установлено, что при отсутствии индивидуального или общего (квартирного) прибора учета (далее - ИПУ) холодной воды, горячей воды, электрической энергии и в случае наличия обязанности установки такого прибора учета размер платы за коммунальную услугу по холодному водоснабжению (далее - ХВС), горячему водоснабжению (далее - ГВС) и (или) электроснабжению, предоставленную потребителю в жилом помещении, определяется по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4(1)</w:t>
        </w:r>
      </w:hyperlink>
      <w:r>
        <w:rPr>
          <w:sz w:val="24"/>
        </w:rPr>
        <w:t xml:space="preserve"> приложения N 2 к Правилам N 354 исходя из норматива потребления коммунальной услуги по ХВС, ГВС и (или) электроснабжению с применением повышающего коэффициента, а в случае установления двухкомпонентных тарифов на горячую воду размер платы за коммунальную услугу по ГВС, предоставленную потребителю за расчетный период в жилом помещении, которое не оснащено ИПУ, определяется по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23(1)</w:t>
        </w:r>
      </w:hyperlink>
      <w:r>
        <w:rPr>
          <w:sz w:val="24"/>
        </w:rPr>
        <w:t xml:space="preserve"> приложения N 2 к Правилам N 354 исходя из норматива потребления горячей воды с применением повышающего коэффициента.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буквального толкования приведенной нормы следует, что объем потребления коммунальных услуг по ХВС, ГВС и (или) электроснабжению при отсутствии ИПУ соответствующего коммунального ресурса определяется исходя из норматива потребления коммунальной услуги. При этом размер платы за коммунальную услугу определяется с применением повышающего коэффициента.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4(1)</w:t>
        </w:r>
      </w:hyperlink>
      <w:r>
        <w:rPr>
          <w:sz w:val="24"/>
        </w:rPr>
        <w:t xml:space="preserve"> приложения N 2 к Правилам N 354 устанавливает: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position w:val="-12"/>
        </w:rPr>
        <w:drawing>
          <wp:inline distT="0" distB="0" distL="0" distR="0">
            <wp:extent cx="177165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размер платы за коммунальную услугу по ХВС, ГВС и (или) электроснабжению при отсутствии ИПУ соответствующего коммунального ресурса и в случае наличия обязанности установки такого ИПУ;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n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количество граждан, постоянно и временно проживающих в i-м жилом помещении;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N</w:t>
      </w:r>
      <w:r>
        <w:rPr>
          <w:sz w:val="24"/>
          <w:vertAlign w:val="subscript"/>
        </w:rPr>
        <w:t xml:space="preserve">j</w:t>
      </w:r>
      <w:r>
        <w:rPr>
          <w:sz w:val="24"/>
        </w:rPr>
        <w:t xml:space="preserve"> - норматив потребления j-й коммунальной услуги;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- повышающий коэффициент;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T</w:t>
      </w:r>
      <w:r>
        <w:rPr>
          <w:sz w:val="24"/>
          <w:vertAlign w:val="superscript"/>
        </w:rPr>
        <w:t xml:space="preserve">кр</w:t>
      </w:r>
      <w:r>
        <w:rPr>
          <w:sz w:val="24"/>
        </w:rPr>
        <w:t xml:space="preserve"> - тариф (цена) на коммунальный ресурс, установленный в соответствии с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Трактовать указанную формулу таким образом, что повышающий коэффициент 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применяется именно к величине (</w:t>
      </w:r>
      <w:r>
        <w:rPr>
          <w:position w:val="-10"/>
        </w:rPr>
        <w:drawing>
          <wp:inline distT="0" distB="0" distL="0" distR="0">
            <wp:extent cx="53721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) некорректно, поскольку при произведении нескольких величин перестановка множителей не влияет на результат.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логики приведенной трактовки можно утверждать, например, что повышающий коэффициент 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увеличивает количество проживающих в i-том помещении граждан (применяется к n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) или увеличивает тариф (применяется к T</w:t>
      </w:r>
      <w:r>
        <w:rPr>
          <w:sz w:val="24"/>
          <w:vertAlign w:val="superscript"/>
        </w:rPr>
        <w:t xml:space="preserve">кр</w:t>
      </w:r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самом деле повышающий коэффициент не увеличивает ни норматив потребления коммунальной услуги, ни количество проживающих в i-том помещении граждан, ни тариф на коммунальную услугу.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Применяемый в </w:t>
      </w:r>
      <w:hyperlink w:history="0" r:id="rId1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4(1)</w:t>
        </w:r>
      </w:hyperlink>
      <w:r>
        <w:rPr>
          <w:sz w:val="24"/>
        </w:rPr>
        <w:t xml:space="preserve"> повышающий коэффициент 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увеличивает только размер платы за коммунальную услугу, потребленную в i-том помещении (P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), не изменяя объем потребления такой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42</w:t>
        </w:r>
      </w:hyperlink>
      <w:r>
        <w:rPr>
          <w:sz w:val="24"/>
        </w:rPr>
        <w:t xml:space="preserve"> Правил N 354 предписано применение не только </w:t>
      </w:r>
      <w:hyperlink w:history="0" r:id="rId1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4(1)</w:t>
        </w:r>
      </w:hyperlink>
      <w:r>
        <w:rPr>
          <w:sz w:val="24"/>
        </w:rPr>
        <w:t xml:space="preserve"> приложения N 2 к Правилам N 354, но и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23(1)</w:t>
        </w:r>
      </w:hyperlink>
      <w:r>
        <w:rPr>
          <w:sz w:val="24"/>
        </w:rPr>
        <w:t xml:space="preserve"> приложения N 2 к Правилам N 354: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position w:val="-10"/>
        </w:rPr>
        <w:drawing>
          <wp:inline distT="0" distB="0" distL="0" distR="0">
            <wp:extent cx="23888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- повышающий коэффициент;</w:t>
      </w:r>
    </w:p>
    <w:p>
      <w:pPr>
        <w:pStyle w:val="0"/>
        <w:spacing w:before="240" w:lineRule="auto"/>
        <w:ind w:firstLine="540"/>
        <w:jc w:val="both"/>
      </w:pPr>
      <w:r>
        <w:rPr>
          <w:position w:val="-10"/>
        </w:rPr>
        <w:drawing>
          <wp:inline distT="0" distB="0" distL="0" distR="0">
            <wp:extent cx="2743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объем потребленной за расчетный период в i-м жилом помещении горячей воды, определенный исходя из нормативов потребления горячей воды в жилом помещении и количества граждан, постоянно и временно проживающих в i-ом жилом помещении;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T</w:t>
      </w:r>
      <w:r>
        <w:rPr>
          <w:sz w:val="24"/>
          <w:vertAlign w:val="superscript"/>
        </w:rPr>
        <w:t xml:space="preserve">ХВ</w:t>
      </w:r>
      <w:r>
        <w:rPr>
          <w:sz w:val="24"/>
        </w:rPr>
        <w:t xml:space="preserve"> - компонент на холодную воду, являющийся составной частью установленного в соответствии с законодательством Российской Федерации тарифа на горячую воду (ГВС);</w:t>
      </w:r>
    </w:p>
    <w:p>
      <w:pPr>
        <w:pStyle w:val="0"/>
        <w:spacing w:before="240" w:lineRule="auto"/>
        <w:ind w:firstLine="540"/>
        <w:jc w:val="both"/>
      </w:pPr>
      <w:r>
        <w:rPr>
          <w:position w:val="-10"/>
        </w:rPr>
        <w:drawing>
          <wp:inline distT="0" distB="0" distL="0" distR="0">
            <wp:extent cx="2743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объем (количество) тепловой энергии, используемой на подогрев воды в целях предоставления коммунальной услуги по ГВС за расчетный период в i-м жилом помещении, рассчитываемый как произведение </w:t>
      </w:r>
      <w:r>
        <w:rPr>
          <w:position w:val="-10"/>
        </w:rPr>
        <w:drawing>
          <wp:inline distT="0" distB="0" distL="0" distR="0">
            <wp:extent cx="2743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и утвержденного норматива расхода тепловой энергии, используемой на подогрев воды в целях предоставления коммунальной услуги по ГВС;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T</w:t>
      </w:r>
      <w:r>
        <w:rPr>
          <w:sz w:val="24"/>
          <w:vertAlign w:val="superscript"/>
        </w:rPr>
        <w:t xml:space="preserve">Т/Э</w:t>
      </w:r>
      <w:r>
        <w:rPr>
          <w:sz w:val="24"/>
        </w:rPr>
        <w:t xml:space="preserve"> - компонент на тепловую энергию, являющийся составной частью установленного в соответствии с законодательством Российской Федерации тарифа на горячую воду (ГВС).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приведенной формулы, при определении объема потребления ГВС (</w:t>
      </w:r>
      <w:r>
        <w:rPr>
          <w:position w:val="-10"/>
        </w:rPr>
        <w:drawing>
          <wp:inline distT="0" distB="0" distL="0" distR="0">
            <wp:extent cx="2743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) подлежат применению норматив потребления горячей воды и количество граждан, проживающих в i-ом жилом помещении. При этом повышающий коэффициент K</w:t>
      </w:r>
      <w:r>
        <w:rPr>
          <w:sz w:val="24"/>
          <w:vertAlign w:val="subscript"/>
        </w:rPr>
        <w:t xml:space="preserve">пов</w:t>
      </w:r>
      <w:r>
        <w:rPr>
          <w:sz w:val="24"/>
        </w:rPr>
        <w:t xml:space="preserve"> применяется только в первом слагаемом </w:t>
      </w: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23(1)</w:t>
        </w:r>
      </w:hyperlink>
      <w:r>
        <w:rPr>
          <w:sz w:val="24"/>
        </w:rPr>
        <w:t xml:space="preserve">. Во втором слагаемом, характеризующем стоимость тепловой энергии, используемой на подогрев воды в целях предоставления коммунальной услуги по ГВС, повышающий коэффициент не подлежит применению, несмотря на то, что в расчете используется объем потребленной горячей воды </w:t>
      </w:r>
      <w:r>
        <w:rPr>
          <w:position w:val="-10"/>
        </w:rPr>
        <w:drawing>
          <wp:inline distT="0" distB="0" distL="0" distR="0">
            <wp:extent cx="2743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применяемый в 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23(1)</w:t>
        </w:r>
      </w:hyperlink>
      <w:r>
        <w:rPr>
          <w:sz w:val="24"/>
        </w:rPr>
        <w:t xml:space="preserve"> повышающий коэффициент не увеличивает объем потребления горячей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Учитывая, что обязательность применения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 4(1)</w:t>
        </w:r>
      </w:hyperlink>
      <w:r>
        <w:rPr>
          <w:sz w:val="24"/>
        </w:rPr>
        <w:t xml:space="preserve"> и </w:t>
      </w:r>
      <w:hyperlink w:history="0" r:id="rId2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23(1)</w:t>
        </w:r>
      </w:hyperlink>
      <w:r>
        <w:rPr>
          <w:sz w:val="24"/>
        </w:rPr>
        <w:t xml:space="preserve"> установлена одним предложением, составляющим </w:t>
      </w:r>
      <w:hyperlink w:history="0" r:id="rId2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 пункта 42</w:t>
        </w:r>
      </w:hyperlink>
      <w:r>
        <w:rPr>
          <w:sz w:val="24"/>
        </w:rPr>
        <w:t xml:space="preserve"> Правил N 354, логика применения указанных формул является единой.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повышающий коэффициент, применяемый в </w:t>
      </w:r>
      <w:hyperlink w:history="0" r:id="rId2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4(1)</w:t>
        </w:r>
      </w:hyperlink>
      <w:r>
        <w:rPr>
          <w:sz w:val="24"/>
        </w:rPr>
        <w:t xml:space="preserve"> приложения N 2 к Правилам N 354, увеличивает размер платы за коммунальную услугу, не увеличивая объем потребления такой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15.01.2026 N 475-ОГ/00</w:t>
            <w:br/>
            <w:t>&lt;О сохранении объема потребления коммунальной услуги при применении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15.01.2026 N 475-ОГ/00 &lt;О сохранении объема потребления коммунальной услуги при применении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2272&amp;date=21.01.2026&amp;dst=101240&amp;field=134&amp;demo=2" TargetMode = "External"/><Relationship Id="rId8" Type="http://schemas.openxmlformats.org/officeDocument/2006/relationships/hyperlink" Target="https://login.consultant.ru/link/?req=doc&amp;base=LAW&amp;n=522272&amp;date=21.01.2026&amp;dst=352&amp;field=134&amp;demo=2" TargetMode = "External"/><Relationship Id="rId9" Type="http://schemas.openxmlformats.org/officeDocument/2006/relationships/hyperlink" Target="https://login.consultant.ru/link/?req=doc&amp;base=LAW&amp;n=522272&amp;date=21.01.2026&amp;dst=101424&amp;field=134&amp;demo=2" TargetMode = "External"/><Relationship Id="rId10" Type="http://schemas.openxmlformats.org/officeDocument/2006/relationships/hyperlink" Target="https://login.consultant.ru/link/?req=doc&amp;base=LAW&amp;n=522272&amp;date=21.01.2026&amp;dst=352&amp;field=134&amp;demo=2" TargetMode = "External"/><Relationship Id="rId11" Type="http://schemas.openxmlformats.org/officeDocument/2006/relationships/image" Target="media/image2.wmf"/><Relationship Id="rId12" Type="http://schemas.openxmlformats.org/officeDocument/2006/relationships/image" Target="media/image3.wmf"/><Relationship Id="rId13" Type="http://schemas.openxmlformats.org/officeDocument/2006/relationships/hyperlink" Target="https://login.consultant.ru/link/?req=doc&amp;base=LAW&amp;n=522272&amp;date=21.01.2026&amp;dst=352&amp;field=134&amp;demo=2" TargetMode = "External"/><Relationship Id="rId14" Type="http://schemas.openxmlformats.org/officeDocument/2006/relationships/hyperlink" Target="https://login.consultant.ru/link/?req=doc&amp;base=LAW&amp;n=522272&amp;date=21.01.2026&amp;dst=101240&amp;field=134&amp;demo=2" TargetMode = "External"/><Relationship Id="rId15" Type="http://schemas.openxmlformats.org/officeDocument/2006/relationships/hyperlink" Target="https://login.consultant.ru/link/?req=doc&amp;base=LAW&amp;n=522272&amp;date=21.01.2026&amp;dst=352&amp;field=134&amp;demo=2" TargetMode = "External"/><Relationship Id="rId16" Type="http://schemas.openxmlformats.org/officeDocument/2006/relationships/hyperlink" Target="https://login.consultant.ru/link/?req=doc&amp;base=LAW&amp;n=522272&amp;date=21.01.2026&amp;dst=101424&amp;field=134&amp;demo=2" TargetMode = "External"/><Relationship Id="rId17" Type="http://schemas.openxmlformats.org/officeDocument/2006/relationships/image" Target="media/image4.wmf"/><Relationship Id="rId18" Type="http://schemas.openxmlformats.org/officeDocument/2006/relationships/image" Target="media/image5.wmf"/><Relationship Id="rId19" Type="http://schemas.openxmlformats.org/officeDocument/2006/relationships/image" Target="media/image6.wmf"/><Relationship Id="rId20" Type="http://schemas.openxmlformats.org/officeDocument/2006/relationships/hyperlink" Target="https://login.consultant.ru/link/?req=doc&amp;base=LAW&amp;n=522272&amp;date=21.01.2026&amp;dst=101424&amp;field=134&amp;demo=2" TargetMode = "External"/><Relationship Id="rId21" Type="http://schemas.openxmlformats.org/officeDocument/2006/relationships/hyperlink" Target="https://login.consultant.ru/link/?req=doc&amp;base=LAW&amp;n=522272&amp;date=21.01.2026&amp;dst=101424&amp;field=134&amp;demo=2" TargetMode = "External"/><Relationship Id="rId22" Type="http://schemas.openxmlformats.org/officeDocument/2006/relationships/hyperlink" Target="https://login.consultant.ru/link/?req=doc&amp;base=LAW&amp;n=522272&amp;date=21.01.2026&amp;dst=352&amp;field=134&amp;demo=2" TargetMode = "External"/><Relationship Id="rId23" Type="http://schemas.openxmlformats.org/officeDocument/2006/relationships/hyperlink" Target="https://login.consultant.ru/link/?req=doc&amp;base=LAW&amp;n=522272&amp;date=21.01.2026&amp;dst=101424&amp;field=134&amp;demo=2" TargetMode = "External"/><Relationship Id="rId24" Type="http://schemas.openxmlformats.org/officeDocument/2006/relationships/hyperlink" Target="https://login.consultant.ru/link/?req=doc&amp;base=LAW&amp;n=522272&amp;date=21.01.2026&amp;dst=101240&amp;field=134&amp;demo=2" TargetMode = "External"/><Relationship Id="rId25" Type="http://schemas.openxmlformats.org/officeDocument/2006/relationships/hyperlink" Target="https://login.consultant.ru/link/?req=doc&amp;base=LAW&amp;n=522272&amp;date=21.01.2026&amp;dst=352&amp;field=134&amp;demo=2" TargetMode = "External"/><Relationship Id="rId26" Type="http://schemas.openxmlformats.org/officeDocument/2006/relationships/hyperlink" Target="https://login.consultant.ru/link/?req=doc&amp;base=LAW&amp;n=490536&amp;date=21.01.2026&amp;dst=99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15.01.2026 N 475-ОГ/00
&lt;О сохранении объема потребления коммунальной услуги при применении повышающего коэффициента&gt;</dc:title>
  <dcterms:created xsi:type="dcterms:W3CDTF">2026-01-21T14:12:37Z</dcterms:created>
</cp:coreProperties>
</file>