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30.12.2025 N 265</w:t>
              <w:br/>
              <w:t xml:space="preserve">"О внесении изменений в Инструкцию по судебному делопроизводству в кассационных судах общей юрисдикции, утвержденную приказом Судебного департамента при Верховном Суде Российской Федерации от 1 октября 2019 г. N 224"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26.01.2026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30 декабря 2025 г. N 265</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СУДЕБНОМУ ДЕЛОПРОИЗВОДСТВУ В КАССАЦИОННЫХ</w:t>
      </w:r>
    </w:p>
    <w:p>
      <w:pPr>
        <w:pStyle w:val="2"/>
        <w:jc w:val="center"/>
      </w:pPr>
      <w:r>
        <w:rPr>
          <w:sz w:val="24"/>
        </w:rPr>
        <w:t xml:space="preserve">СУДАХ ОБЩЕЙ ЮРИСДИКЦИИ, УТВЕРЖДЕННУЮ ПРИКАЗОМ СУДЕБНОГО</w:t>
      </w:r>
    </w:p>
    <w:p>
      <w:pPr>
        <w:pStyle w:val="2"/>
        <w:jc w:val="center"/>
      </w:pPr>
      <w:r>
        <w:rPr>
          <w:sz w:val="24"/>
        </w:rPr>
        <w:t xml:space="preserve">ДЕПАРТАМЕНТА ПРИ ВЕРХОВНОМ СУДЕ РОССИЙСКОЙ ФЕДЕРАЦИИ</w:t>
      </w:r>
    </w:p>
    <w:p>
      <w:pPr>
        <w:pStyle w:val="2"/>
        <w:jc w:val="center"/>
      </w:pPr>
      <w:r>
        <w:rPr>
          <w:sz w:val="24"/>
        </w:rPr>
        <w:t xml:space="preserve">ОТ 1 ОКТЯБРЯ 2019 Г. N 224</w:t>
      </w:r>
    </w:p>
    <w:p>
      <w:pPr>
        <w:pStyle w:val="0"/>
        <w:jc w:val="center"/>
      </w:pPr>
      <w:r>
        <w:rPr>
          <w:sz w:val="24"/>
        </w:rPr>
      </w:r>
    </w:p>
    <w:p>
      <w:pPr>
        <w:pStyle w:val="0"/>
        <w:ind w:firstLine="540"/>
        <w:jc w:val="both"/>
      </w:pPr>
      <w:r>
        <w:rPr>
          <w:sz w:val="24"/>
        </w:rPr>
        <w:t xml:space="preserve">В соответствии с Федеральным </w:t>
      </w:r>
      <w:hyperlink w:history="0" r:id="rId8" w:tooltip="Федеральный закон от 08.01.1998 N 7-ФЗ (ред. от 23.07.2025)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9"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Инструкцию</w:t>
        </w:r>
      </w:hyperlink>
      <w:r>
        <w:rPr>
          <w:sz w:val="24"/>
        </w:rPr>
        <w:t xml:space="preserve"> по судебному делопроизводству в кассационных судах общей юрисдикции, утвержденную приказом Судебного департамента при Верховном Суде Российской Федерации от 1 октября 2019 г. N 224, следующие изменения:</w:t>
      </w:r>
    </w:p>
    <w:p>
      <w:pPr>
        <w:pStyle w:val="0"/>
        <w:spacing w:before="240" w:lineRule="auto"/>
        <w:ind w:firstLine="540"/>
        <w:jc w:val="both"/>
      </w:pPr>
      <w:r>
        <w:rPr>
          <w:sz w:val="24"/>
        </w:rPr>
        <w:t xml:space="preserve">1.1. </w:t>
      </w:r>
      <w:hyperlink w:history="0" r:id="rId10"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Абзац четвертый пункта 2.4</w:t>
        </w:r>
      </w:hyperlink>
      <w:r>
        <w:rPr>
          <w:sz w:val="24"/>
        </w:rPr>
        <w:t xml:space="preserve"> изложить в следующей редакции:</w:t>
      </w:r>
    </w:p>
    <w:p>
      <w:pPr>
        <w:pStyle w:val="0"/>
        <w:spacing w:before="240" w:lineRule="auto"/>
        <w:ind w:firstLine="540"/>
        <w:jc w:val="both"/>
      </w:pPr>
      <w:r>
        <w:rPr>
          <w:sz w:val="24"/>
        </w:rPr>
        <w:t xml:space="preserve">"Ошибочно доставленная корреспонденция, в том числе ошибочные вложения, пересылаются по принадлежности или возвращаются отправителю уполномоченным работником аппарата суда с оставлением копии сопроводительного письма в соответствующем наряде.".</w:t>
      </w:r>
    </w:p>
    <w:p>
      <w:pPr>
        <w:pStyle w:val="0"/>
        <w:spacing w:before="240" w:lineRule="auto"/>
        <w:ind w:firstLine="540"/>
        <w:jc w:val="both"/>
      </w:pPr>
      <w:r>
        <w:rPr>
          <w:sz w:val="24"/>
        </w:rPr>
        <w:t xml:space="preserve">1.2. </w:t>
      </w:r>
      <w:hyperlink w:history="0" r:id="rId11"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Абзац четвертый пункта 3.8</w:t>
        </w:r>
      </w:hyperlink>
      <w:r>
        <w:rPr>
          <w:sz w:val="24"/>
        </w:rPr>
        <w:t xml:space="preserve"> изложить в следующей редакции:</w:t>
      </w:r>
    </w:p>
    <w:p>
      <w:pPr>
        <w:pStyle w:val="0"/>
        <w:spacing w:before="240" w:lineRule="auto"/>
        <w:ind w:firstLine="540"/>
        <w:jc w:val="both"/>
      </w:pPr>
      <w:r>
        <w:rPr>
          <w:sz w:val="24"/>
        </w:rPr>
        <w:t xml:space="preserve">"Судебный акт (его электронная копия) в форме электронного документа, копия судебного акта в виде электронного образа документа должны быть изготовлены в формате Portable Document Format/A (PDF/A). Подписание судебного акта (его электронной копии) в форме электронного документа, копии судебного акта в виде электронного образа документа,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электронную подпись в обязательном порядке включается метка доверенного времени, сформированная в момент подписания документа. В случае, если по техническим причинам получение метки доверенного времени в момент подписания невозможно, срок окончания действия сертификата ключа электронной подписи, которым подписывается документ, должен истекать не ранее 45 дней с момента подписания.".</w:t>
      </w:r>
    </w:p>
    <w:p>
      <w:pPr>
        <w:pStyle w:val="0"/>
        <w:spacing w:before="240" w:lineRule="auto"/>
        <w:ind w:firstLine="540"/>
        <w:jc w:val="both"/>
      </w:pPr>
      <w:r>
        <w:rPr>
          <w:sz w:val="24"/>
        </w:rPr>
        <w:t xml:space="preserve">1.3. </w:t>
      </w:r>
      <w:hyperlink w:history="0" r:id="rId12"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 11.10.1</w:t>
        </w:r>
      </w:hyperlink>
      <w:r>
        <w:rPr>
          <w:sz w:val="24"/>
        </w:rPr>
        <w:t xml:space="preserve"> изложить в следующей редакции:</w:t>
      </w:r>
    </w:p>
    <w:p>
      <w:pPr>
        <w:pStyle w:val="0"/>
        <w:spacing w:before="240" w:lineRule="auto"/>
        <w:ind w:firstLine="540"/>
        <w:jc w:val="both"/>
      </w:pPr>
      <w:r>
        <w:rPr>
          <w:sz w:val="24"/>
        </w:rPr>
        <w:t xml:space="preserve">"11.10.1. При изменении меры пресечения в отношении лица, содержащегося под стражей, на подписку о невыезде и надлежащем поведении лицо освобождается из-под стражи в зале суда, у освобожденного из-под стражи лица уполномоченным работником аппарата суда по поручению судьи отбирается подписка о невыезде и надлежащем поведении (форма N 25) и приобщается к материалам дела. Копия постановления об изменении меры пресечения направляется администрации места содержания под стражей через начальника конвоя. В случае участия лица в заседании суда кассационной инстанции в режиме видео-конференц-связи, а также в случае его отказа от участия в судебном заседании, копия постановления об изменении меры пресечения не позднее следующего рабочего дня направляется для исполнения в администрацию места содержания под стражей.".</w:t>
      </w:r>
    </w:p>
    <w:p>
      <w:pPr>
        <w:pStyle w:val="0"/>
        <w:spacing w:before="240" w:lineRule="auto"/>
        <w:ind w:firstLine="540"/>
        <w:jc w:val="both"/>
      </w:pPr>
      <w:r>
        <w:rPr>
          <w:sz w:val="24"/>
        </w:rPr>
        <w:t xml:space="preserve">1.4. </w:t>
      </w:r>
      <w:hyperlink w:history="0" r:id="rId13"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 11.10.2</w:t>
        </w:r>
      </w:hyperlink>
      <w:r>
        <w:rPr>
          <w:sz w:val="24"/>
        </w:rPr>
        <w:t xml:space="preserve"> изложить в следующей редакции:</w:t>
      </w:r>
    </w:p>
    <w:p>
      <w:pPr>
        <w:pStyle w:val="0"/>
        <w:spacing w:before="240" w:lineRule="auto"/>
        <w:ind w:firstLine="540"/>
        <w:jc w:val="both"/>
      </w:pPr>
      <w:r>
        <w:rPr>
          <w:sz w:val="24"/>
        </w:rPr>
        <w:t xml:space="preserve">"11.10.2. При изменении меры пресечения в отношении лица, содержащегося под стражей, на личное поручительство уполномоченным работником аппарата суда по поручению судьи вызываются в суд поручители и оформляется подписка о личном поручительстве (форма N 26), которая приобщается к материалам дела. В случае если лицо участвует в заседании суда кассационной инстанции, оно освобождается из-под стражи в зале суда. Копия постановления об изменении меры пресечения направляется администрации места содержания под стражей через начальника конвоя. В случае участия лица в заседании суда апелляционной инстанции в режиме видео-конференц-связи, а также в случае его отказа от участия в судебном заседании, копия постановления об изменении меры пресечения не позднее следующего рабочего дня направляется уполномоченным работником аппарата суда для исполнения в администрацию места содержания под стражей.".</w:t>
      </w:r>
    </w:p>
    <w:p>
      <w:pPr>
        <w:pStyle w:val="0"/>
        <w:spacing w:before="240" w:lineRule="auto"/>
        <w:ind w:firstLine="540"/>
        <w:jc w:val="both"/>
      </w:pPr>
      <w:r>
        <w:rPr>
          <w:sz w:val="24"/>
        </w:rPr>
        <w:t xml:space="preserve">1.5. </w:t>
      </w:r>
      <w:hyperlink w:history="0" r:id="rId14"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 11.10.3</w:t>
        </w:r>
      </w:hyperlink>
      <w:r>
        <w:rPr>
          <w:sz w:val="24"/>
        </w:rPr>
        <w:t xml:space="preserve"> изложить в следующей редакции:</w:t>
      </w:r>
    </w:p>
    <w:p>
      <w:pPr>
        <w:pStyle w:val="0"/>
        <w:spacing w:before="240" w:lineRule="auto"/>
        <w:ind w:firstLine="540"/>
        <w:jc w:val="both"/>
      </w:pPr>
      <w:r>
        <w:rPr>
          <w:sz w:val="24"/>
        </w:rPr>
        <w:t xml:space="preserve">"11.10.3. При изменении меры пресечения в отношении лица, содержащегося под стражей, на залог суд устанавливает срок внесения залога. Копия постановления об изменении меры пресечения не позднее следующего рабочего дня направляется уполномоченным работником аппарата суда администрации места содержания под стражей. Денежные средства, являющиеся предметом залога, вносятся на депозитный счет суда (</w:t>
      </w:r>
      <w:hyperlink w:history="0" r:id="rId1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 106</w:t>
        </w:r>
      </w:hyperlink>
      <w:r>
        <w:rPr>
          <w:sz w:val="24"/>
        </w:rPr>
        <w:t xml:space="preserve"> УПК РФ, </w:t>
      </w:r>
      <w:hyperlink w:history="0" r:id="rId16" w:tooltip="Постановление Правительства РФ от 13.07.2011 N 569 (ред. от 29.07.2020) &quot;Об утверждении Положения об оценке, содержании предмета залога по уголовному делу, управлении им и обеспечении его сохранности&quot; {КонсультантПлюс}">
        <w:r>
          <w:rPr>
            <w:sz w:val="24"/>
            <w:color w:val="0000ff"/>
          </w:rPr>
          <w:t xml:space="preserve">Положение</w:t>
        </w:r>
      </w:hyperlink>
      <w:r>
        <w:rPr>
          <w:sz w:val="24"/>
        </w:rPr>
        <w:t xml:space="preserve"> об оценке содержания предмета залога по уголовному делу, управлении им и обеспечении его сохранности, утвержденное постановлением Правительства Российской Федерации от 13.07.2011 N 569). О принятии залога судом составляется протокол (форма N 27), который приобщается к материалам дела. После оформления протокола о принятии залога распоряжение об исполнении постановления суда об изменении меры пресечения и об освобождении лица из-под стражи за подписью судьи, заверенной гербовой печатью суда, направляется уполномоченным работником аппарата суда для исполнения в администрацию места содержания под стражей (форма N 27а).</w:t>
      </w:r>
    </w:p>
    <w:p>
      <w:pPr>
        <w:pStyle w:val="0"/>
        <w:spacing w:before="240" w:lineRule="auto"/>
        <w:ind w:firstLine="540"/>
        <w:jc w:val="both"/>
      </w:pPr>
      <w:r>
        <w:rPr>
          <w:sz w:val="24"/>
        </w:rPr>
        <w:t xml:space="preserve">Копия протокола о принятии залога вручается залогодателю. Копия постановления или определения суда о применении меры пресечения в виде залога недвижимого имущества, о возврате залога залогодателю или об обращении залога в доход государства, заверенная надлежащим образом, направляется уполномоченным работником аппарата суда в срок не более чем три рабочих дня в орган регистрации прав (</w:t>
      </w:r>
      <w:hyperlink w:history="0" r:id="rId17" w:tooltip="Федеральный закон от 13.07.2015 N 218-ФЗ (ред. от 28.12.2025) &quot;О государственной регистрации недвижимости&quot; (с изм. и доп., вступ. в силу с 08.01.2026) {КонсультантПлюс}">
        <w:r>
          <w:rPr>
            <w:sz w:val="24"/>
            <w:color w:val="0000ff"/>
          </w:rPr>
          <w:t xml:space="preserve">статья 32</w:t>
        </w:r>
      </w:hyperlink>
      <w:r>
        <w:rPr>
          <w:sz w:val="24"/>
        </w:rPr>
        <w:t xml:space="preserve"> Федерального закона от 13 июля 2015 г. N 218-ФЗ "О государственной регистрации недвижимости").".</w:t>
      </w:r>
    </w:p>
    <w:p>
      <w:pPr>
        <w:pStyle w:val="0"/>
        <w:spacing w:before="240" w:lineRule="auto"/>
        <w:ind w:firstLine="540"/>
        <w:jc w:val="both"/>
      </w:pPr>
      <w:r>
        <w:rPr>
          <w:sz w:val="24"/>
        </w:rPr>
        <w:t xml:space="preserve">1.6. </w:t>
      </w:r>
      <w:hyperlink w:history="0" r:id="rId18"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Пункты 11.10.3</w:t>
        </w:r>
      </w:hyperlink>
      <w:r>
        <w:rPr>
          <w:sz w:val="24"/>
        </w:rPr>
        <w:t xml:space="preserve"> и </w:t>
      </w:r>
      <w:hyperlink w:history="0" r:id="rId19"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11.10.4</w:t>
        </w:r>
      </w:hyperlink>
      <w:r>
        <w:rPr>
          <w:sz w:val="24"/>
        </w:rPr>
        <w:t xml:space="preserve"> считать соответственно пунктами 11.10.4 и 11.10.5.</w:t>
      </w:r>
    </w:p>
    <w:p>
      <w:pPr>
        <w:pStyle w:val="0"/>
        <w:spacing w:before="240" w:lineRule="auto"/>
        <w:ind w:firstLine="540"/>
        <w:jc w:val="both"/>
      </w:pPr>
      <w:r>
        <w:rPr>
          <w:sz w:val="24"/>
        </w:rPr>
        <w:t xml:space="preserve">1.7. </w:t>
      </w:r>
      <w:hyperlink w:history="0" r:id="rId20"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 11.10.4</w:t>
        </w:r>
      </w:hyperlink>
      <w:r>
        <w:rPr>
          <w:sz w:val="24"/>
        </w:rPr>
        <w:t xml:space="preserve"> изложить в следующей редакции:</w:t>
      </w:r>
    </w:p>
    <w:p>
      <w:pPr>
        <w:pStyle w:val="0"/>
        <w:spacing w:before="240" w:lineRule="auto"/>
        <w:ind w:firstLine="540"/>
        <w:jc w:val="both"/>
      </w:pPr>
      <w:r>
        <w:rPr>
          <w:sz w:val="24"/>
        </w:rPr>
        <w:t xml:space="preserve">"11.10.4. При изменении меры пресечения в отношении лица, содержащегося под стражей, на домашний арест и (или) на запрет определенных действий копия постановления об изменении меры пресечения незамедлительно направляется уполномоченным работником аппарата суда для исполнения в федеральный орган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 УФСИН России по соответствующему субъекту Российской Федерации. В случае если лицо участвует в заседании суда кассационной инстанции, оно освобождается из-под стражи в зале суда. Копия постановления об изменении меры пресечения направляется уполномоченным работником аппарата суда администрации места содержания под стражей через начальника конвоя. В случае участия лица в заседании суда кассационной инстанции в режиме видеоконференц-связи, а также в случае его отказа от участия в судебном заседании, копия постановления об изменении меры пресечения не позднее следующего рабочего дня направляется уполномоченным работником аппарата суда для исполнения в администрацию места содержания под стражей.".</w:t>
      </w:r>
    </w:p>
    <w:p>
      <w:pPr>
        <w:pStyle w:val="0"/>
        <w:spacing w:before="240" w:lineRule="auto"/>
        <w:ind w:firstLine="540"/>
        <w:jc w:val="both"/>
      </w:pPr>
      <w:r>
        <w:rPr>
          <w:sz w:val="24"/>
        </w:rPr>
        <w:t xml:space="preserve">1.8. </w:t>
      </w:r>
      <w:hyperlink w:history="0" r:id="rId21"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Пункт 11.10.5</w:t>
        </w:r>
      </w:hyperlink>
    </w:p>
    <w:p>
      <w:pPr>
        <w:pStyle w:val="0"/>
        <w:spacing w:before="240" w:lineRule="auto"/>
        <w:ind w:firstLine="540"/>
        <w:jc w:val="both"/>
      </w:pPr>
      <w:r>
        <w:rPr>
          <w:sz w:val="24"/>
        </w:rPr>
        <w:t xml:space="preserve">"11.10.5. При избрании названных мер пресечения в отношении лица, не содержащегося под стражей, его оформление производится в порядке, указанном в пунктах 11.10.2, 11.10.3, 11.10.4 настоящей Инструкции, с вызовом в суд осужденного, его поручителей. Копия постановления об избрании меры пресечения направляется для исполнения в федеральный орган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 УФСИН России по соответствующему субъекту Российской Федерации.</w:t>
      </w:r>
    </w:p>
    <w:p>
      <w:pPr>
        <w:pStyle w:val="0"/>
        <w:spacing w:before="240" w:lineRule="auto"/>
        <w:ind w:firstLine="540"/>
        <w:jc w:val="both"/>
      </w:pPr>
      <w:r>
        <w:rPr>
          <w:sz w:val="24"/>
        </w:rPr>
        <w:t xml:space="preserve">В случае решения судом вопроса об избрании подсудимому или осужденному, участвующему в судебном заседании, меры пресечения в виде заключения под стражу, копия решения суда вручается начальнику конвоя под расписку.".</w:t>
      </w:r>
    </w:p>
    <w:p>
      <w:pPr>
        <w:pStyle w:val="0"/>
        <w:spacing w:before="240" w:lineRule="auto"/>
        <w:ind w:firstLine="540"/>
        <w:jc w:val="both"/>
      </w:pPr>
      <w:r>
        <w:rPr>
          <w:sz w:val="24"/>
        </w:rPr>
        <w:t xml:space="preserve">1.9. </w:t>
      </w:r>
      <w:hyperlink w:history="0" r:id="rId22"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Абзац восьмой пункта 16.1</w:t>
        </w:r>
      </w:hyperlink>
      <w:r>
        <w:rPr>
          <w:sz w:val="24"/>
        </w:rPr>
        <w:t xml:space="preserve"> изложить в следующей редакции:</w:t>
      </w:r>
    </w:p>
    <w:p>
      <w:pPr>
        <w:pStyle w:val="0"/>
        <w:spacing w:before="240" w:lineRule="auto"/>
        <w:ind w:firstLine="540"/>
        <w:jc w:val="both"/>
      </w:pPr>
      <w:r>
        <w:rPr>
          <w:sz w:val="24"/>
        </w:rPr>
        <w:t xml:space="preserve">"Судебные акты на оплату процессуальных издержек могут быть выполнены в форме электронного документа, подписываемого судьями (судьей) усиленной квалифицированной электронной подписью, и при наличии технической возможности направлены в финансовую службу суда посредством модуля "ДО" ПИ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Электронная копия судебного акта на оплату процессуальных издержек, выполненного в форме электронного документа, подписанного усиленной квалифицированной подписью судьи, изготавливается в порядке, установленном п. 18.1.2 Инструкции, и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1.10. </w:t>
      </w:r>
      <w:hyperlink w:history="0" r:id="rId23"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18.1.2 следующего содержания:</w:t>
      </w:r>
    </w:p>
    <w:p>
      <w:pPr>
        <w:pStyle w:val="0"/>
        <w:spacing w:before="240" w:lineRule="auto"/>
        <w:ind w:firstLine="540"/>
        <w:jc w:val="both"/>
      </w:pPr>
      <w:r>
        <w:rPr>
          <w:sz w:val="24"/>
        </w:rPr>
        <w:t xml:space="preserve">"18.1.2.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изготавливается в следующих случаях:</w:t>
      </w:r>
    </w:p>
    <w:p>
      <w:pPr>
        <w:pStyle w:val="0"/>
        <w:spacing w:before="240" w:lineRule="auto"/>
        <w:ind w:firstLine="540"/>
        <w:jc w:val="both"/>
      </w:pPr>
      <w:r>
        <w:rPr>
          <w:sz w:val="24"/>
        </w:rPr>
        <w:t xml:space="preserve">истечения срока действия сертификата ключа электронной подписи, которым был подписан судебный акт в форме электронного документа;</w:t>
      </w:r>
    </w:p>
    <w:p>
      <w:pPr>
        <w:pStyle w:val="0"/>
        <w:spacing w:before="240" w:lineRule="auto"/>
        <w:ind w:firstLine="540"/>
        <w:jc w:val="both"/>
      </w:pPr>
      <w:r>
        <w:rPr>
          <w:sz w:val="24"/>
        </w:rPr>
        <w:t xml:space="preserve">необходимости проставления на электронной копии судебного акта отметки о вступлении судебного акта в законную силу;</w:t>
      </w:r>
    </w:p>
    <w:p>
      <w:pPr>
        <w:pStyle w:val="0"/>
        <w:spacing w:before="240" w:lineRule="auto"/>
        <w:ind w:firstLine="540"/>
        <w:jc w:val="both"/>
      </w:pPr>
      <w:r>
        <w:rPr>
          <w:sz w:val="24"/>
        </w:rPr>
        <w:t xml:space="preserve">изменения судебного акта вышестоящим судом, вынесение постановления, определения об исправлении описки или явной арифметической ошибки.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изготавливается уполномоченным работником аппарата суда с использованием ПС ГАС "Правосудие" и должна содержать следующие реквизиты:</w:t>
      </w:r>
    </w:p>
    <w:p>
      <w:pPr>
        <w:pStyle w:val="0"/>
        <w:spacing w:before="240" w:lineRule="auto"/>
        <w:ind w:firstLine="540"/>
        <w:jc w:val="both"/>
      </w:pPr>
      <w:r>
        <w:rPr>
          <w:sz w:val="24"/>
        </w:rPr>
        <w:t xml:space="preserve">отметка "Электронная копия электронного документа" в верхнем правом углу первой страницы копии;</w:t>
      </w:r>
    </w:p>
    <w:p>
      <w:pPr>
        <w:pStyle w:val="0"/>
        <w:spacing w:before="240" w:lineRule="auto"/>
        <w:ind w:firstLine="540"/>
        <w:jc w:val="both"/>
      </w:pPr>
      <w:r>
        <w:rPr>
          <w:sz w:val="24"/>
        </w:rPr>
        <w:t xml:space="preserve">отметка (отметки) об электронной подписи (электронных подписях), которой (которыми) подписан оригинал. Отметка должна включать в себя фразу "Оригинал документа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отметка о заверении копии и о дате вступления судебного акта в законную силу или о том, что он в законную силу не вступил, с информацией о дате изготовления копии и об уникальном идентификаторе дела;</w:t>
      </w:r>
    </w:p>
    <w:p>
      <w:pPr>
        <w:pStyle w:val="0"/>
        <w:spacing w:before="240" w:lineRule="auto"/>
        <w:ind w:firstLine="540"/>
        <w:jc w:val="both"/>
      </w:pPr>
      <w:r>
        <w:rPr>
          <w:sz w:val="24"/>
        </w:rPr>
        <w:t xml:space="preserve">отметка об изменении судебного акта вышестоящим судом либо об исправлении описки или явной арифметической ошибки (при наличии изменений);</w:t>
      </w:r>
    </w:p>
    <w:p>
      <w:pPr>
        <w:pStyle w:val="0"/>
        <w:spacing w:before="240" w:lineRule="auto"/>
        <w:ind w:firstLine="540"/>
        <w:jc w:val="both"/>
      </w:pPr>
      <w:r>
        <w:rPr>
          <w:sz w:val="24"/>
        </w:rPr>
        <w:t xml:space="preserve">отметка об электронной подписи, которой заверяется копия и информация о вступлении в законную силу. Отметка должна включать в себя фразу "Документ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должна быть подписана (заверена)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или иного уполномоченного им лица. Подписание электронной копии усиленной квалифицированной электронной подписью производится в порядке, установленном п. 3.8 настоящей Инструкции.</w:t>
      </w:r>
    </w:p>
    <w:p>
      <w:pPr>
        <w:pStyle w:val="0"/>
        <w:spacing w:before="240" w:lineRule="auto"/>
        <w:ind w:firstLine="540"/>
        <w:jc w:val="both"/>
      </w:pPr>
      <w:r>
        <w:rPr>
          <w:sz w:val="24"/>
        </w:rPr>
        <w:t xml:space="preserve">Информация об изготовлении и направлении (выдаче) электронной копии судебного акта, выполненного в форме электронного документа, вносится в ПС ГАС "Правосудие".</w:t>
      </w:r>
    </w:p>
    <w:p>
      <w:pPr>
        <w:pStyle w:val="0"/>
        <w:spacing w:before="240" w:lineRule="auto"/>
        <w:ind w:firstLine="540"/>
        <w:jc w:val="both"/>
      </w:pPr>
      <w:r>
        <w:rPr>
          <w:sz w:val="24"/>
        </w:rPr>
        <w:t xml:space="preserve">Изготовление электронной копии судебного акта, выполненного в форме электронного документа, без использования ПС ГАС "Правосудие" не допускается.".</w:t>
      </w:r>
    </w:p>
    <w:p>
      <w:pPr>
        <w:pStyle w:val="0"/>
        <w:spacing w:before="240" w:lineRule="auto"/>
        <w:ind w:firstLine="540"/>
        <w:jc w:val="both"/>
      </w:pPr>
      <w:r>
        <w:rPr>
          <w:sz w:val="24"/>
        </w:rPr>
        <w:t xml:space="preserve">1.11. </w:t>
      </w:r>
      <w:hyperlink w:history="0" r:id="rId24" w:tooltip="Приказ Судебного департамента при Верховном Суде РФ от 01.10.2019 N 224 (ред. от 01.09.2025) &quot;Об утверждении Инструкции по судебному делопроизводству в кассационных судах общей юрисдикции&quot; ------------ Недействующая редакция {КонсультантПлюс}">
        <w:r>
          <w:rPr>
            <w:sz w:val="24"/>
            <w:color w:val="0000ff"/>
          </w:rPr>
          <w:t xml:space="preserve">Приложение N 2</w:t>
        </w:r>
      </w:hyperlink>
      <w:r>
        <w:rPr>
          <w:sz w:val="24"/>
        </w:rPr>
        <w:t xml:space="preserve"> к Инструкции дополнить формой N 27а в редакции согласно </w:t>
      </w:r>
      <w:hyperlink w:history="0" w:anchor="P66" w:tooltip="Распоряжение">
        <w:r>
          <w:rPr>
            <w:sz w:val="24"/>
            <w:color w:val="0000ff"/>
          </w:rPr>
          <w:t xml:space="preserve">приложению</w:t>
        </w:r>
      </w:hyperlink>
      <w:r>
        <w:rPr>
          <w:sz w:val="24"/>
        </w:rPr>
        <w:t xml:space="preserve"> к настоящему приказу.</w:t>
      </w:r>
    </w:p>
    <w:p>
      <w:pPr>
        <w:pStyle w:val="0"/>
        <w:spacing w:before="240" w:lineRule="auto"/>
        <w:ind w:firstLine="540"/>
        <w:jc w:val="both"/>
      </w:pPr>
      <w:r>
        <w:rPr>
          <w:sz w:val="24"/>
        </w:rPr>
        <w:t xml:space="preserve">2. Настоящий приказ вступает в силу со дня его подписания.</w:t>
      </w:r>
    </w:p>
    <w:p>
      <w:pPr>
        <w:pStyle w:val="0"/>
        <w:ind w:firstLine="540"/>
        <w:jc w:val="both"/>
      </w:pPr>
      <w:r>
        <w:rPr>
          <w:sz w:val="24"/>
        </w:rPr>
      </w:r>
    </w:p>
    <w:p>
      <w:pPr>
        <w:pStyle w:val="0"/>
        <w:jc w:val="right"/>
      </w:pPr>
      <w:r>
        <w:rPr>
          <w:sz w:val="24"/>
        </w:rPr>
        <w:t xml:space="preserve">Генеральный директор</w:t>
      </w:r>
    </w:p>
    <w:p>
      <w:pPr>
        <w:pStyle w:val="0"/>
        <w:jc w:val="right"/>
      </w:pPr>
      <w:r>
        <w:rPr>
          <w:sz w:val="24"/>
        </w:rPr>
        <w:t xml:space="preserve">Г.Б.ЛОПАТИН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265</w:t>
      </w:r>
    </w:p>
    <w:p>
      <w:pPr>
        <w:pStyle w:val="0"/>
        <w:jc w:val="right"/>
      </w:pPr>
      <w:r>
        <w:rPr>
          <w:sz w:val="24"/>
        </w:rPr>
      </w:r>
    </w:p>
    <w:p>
      <w:pPr>
        <w:pStyle w:val="0"/>
        <w:jc w:val="right"/>
      </w:pPr>
      <w:r>
        <w:rPr>
          <w:sz w:val="24"/>
        </w:rPr>
        <w:t xml:space="preserve">Форма N 27а</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66" w:name="P66"/>
          <w:bookmarkEnd w:id="66"/>
          <w:p>
            <w:pPr>
              <w:pStyle w:val="0"/>
              <w:jc w:val="center"/>
            </w:pPr>
            <w:r>
              <w:rPr>
                <w:sz w:val="24"/>
              </w:rPr>
              <w:t xml:space="preserve">Распоряжение</w:t>
            </w:r>
          </w:p>
          <w:p>
            <w:pPr>
              <w:pStyle w:val="0"/>
              <w:jc w:val="center"/>
            </w:pPr>
            <w:r>
              <w:rPr>
                <w:sz w:val="24"/>
              </w:rPr>
              <w:t xml:space="preserve">об исполнении постановления суда об изменении меры пресечения и об освобождении обвиняемого (подсудимого, осужденного) из-под стражи</w:t>
            </w:r>
          </w:p>
        </w:tc>
      </w:tr>
    </w:tbl>
    <w:p>
      <w:pPr>
        <w:pStyle w:val="0"/>
      </w:pPr>
      <w:r>
        <w:rPr>
          <w:sz w:val="24"/>
        </w:rPr>
      </w:r>
    </w:p>
    <w:tbl>
      <w:tblPr>
        <w:tblInd w:w="0" w:type="dxa"/>
        <w:tblLayout w:type="fixed"/>
        <w:tblCellMar>
          <w:top w:w="102" w:type="dxa"/>
          <w:left w:w="62" w:type="dxa"/>
          <w:bottom w:w="102" w:type="dxa"/>
          <w:right w:w="62" w:type="dxa"/>
        </w:tblCellMar>
      </w:tblPr>
      <w:tblGrid>
        <w:gridCol w:w="2833"/>
        <w:gridCol w:w="795"/>
        <w:gridCol w:w="884"/>
        <w:gridCol w:w="1455"/>
        <w:gridCol w:w="2729"/>
        <w:gridCol w:w="375"/>
      </w:tblGrid>
      <w:tr>
        <w:tc>
          <w:tcPr>
            <w:gridSpan w:val="2"/>
            <w:tcW w:w="3628" w:type="dxa"/>
            <w:vAlign w:val="bottom"/>
            <w:tcBorders>
              <w:top w:val="nil"/>
              <w:left w:val="nil"/>
              <w:bottom w:val="nil"/>
              <w:right w:val="nil"/>
            </w:tcBorders>
          </w:tcPr>
          <w:p>
            <w:pPr>
              <w:pStyle w:val="0"/>
            </w:pPr>
            <w:r>
              <w:rPr>
                <w:sz w:val="24"/>
              </w:rPr>
              <w:t xml:space="preserve">Постановлением (определением)</w:t>
            </w:r>
          </w:p>
        </w:tc>
        <w:tc>
          <w:tcPr>
            <w:gridSpan w:val="4"/>
            <w:tcW w:w="5443" w:type="dxa"/>
            <w:tcBorders>
              <w:top w:val="nil"/>
              <w:left w:val="nil"/>
              <w:bottom w:val="single" w:sz="4"/>
              <w:right w:val="nil"/>
            </w:tcBorders>
          </w:tcPr>
          <w:p>
            <w:pPr>
              <w:pStyle w:val="0"/>
              <w:jc w:val="both"/>
            </w:pPr>
            <w:r>
              <w:rPr>
                <w:sz w:val="24"/>
              </w:rPr>
            </w:r>
          </w:p>
        </w:tc>
      </w:tr>
      <w:tr>
        <w:tc>
          <w:tcPr>
            <w:gridSpan w:val="2"/>
            <w:tcW w:w="3628" w:type="dxa"/>
            <w:tcBorders>
              <w:top w:val="nil"/>
              <w:left w:val="nil"/>
              <w:bottom w:val="nil"/>
              <w:right w:val="nil"/>
            </w:tcBorders>
          </w:tcPr>
          <w:p>
            <w:pPr>
              <w:pStyle w:val="0"/>
            </w:pPr>
            <w:r>
              <w:rPr>
                <w:sz w:val="24"/>
              </w:rPr>
            </w:r>
          </w:p>
        </w:tc>
        <w:tc>
          <w:tcPr>
            <w:gridSpan w:val="4"/>
            <w:tcW w:w="5443" w:type="dxa"/>
            <w:tcBorders>
              <w:top w:val="single" w:sz="4"/>
              <w:left w:val="nil"/>
              <w:bottom w:val="nil"/>
              <w:right w:val="nil"/>
            </w:tcBorders>
          </w:tcPr>
          <w:p>
            <w:pPr>
              <w:pStyle w:val="0"/>
              <w:jc w:val="center"/>
            </w:pPr>
            <w:r>
              <w:rPr>
                <w:sz w:val="24"/>
              </w:rPr>
              <w:t xml:space="preserve">(наименование кассационного суда)</w:t>
            </w:r>
          </w:p>
        </w:tc>
      </w:tr>
      <w:tr>
        <w:tc>
          <w:tcPr>
            <w:gridSpan w:val="4"/>
            <w:tcW w:w="5967" w:type="dxa"/>
            <w:vAlign w:val="bottom"/>
            <w:tcBorders>
              <w:top w:val="nil"/>
              <w:left w:val="nil"/>
              <w:bottom w:val="nil"/>
              <w:right w:val="nil"/>
            </w:tcBorders>
          </w:tcPr>
          <w:p>
            <w:pPr>
              <w:pStyle w:val="0"/>
            </w:pPr>
            <w:r>
              <w:rPr>
                <w:sz w:val="24"/>
              </w:rPr>
              <w:t xml:space="preserve">в отношении обвиняемого (подсудимого, осужденного)</w:t>
            </w:r>
          </w:p>
        </w:tc>
        <w:tc>
          <w:tcPr>
            <w:gridSpan w:val="2"/>
            <w:tcW w:w="3104" w:type="dxa"/>
            <w:tcBorders>
              <w:top w:val="nil"/>
              <w:left w:val="nil"/>
              <w:bottom w:val="single" w:sz="4"/>
              <w:right w:val="nil"/>
            </w:tcBorders>
          </w:tcPr>
          <w:p>
            <w:pPr>
              <w:pStyle w:val="0"/>
              <w:jc w:val="both"/>
            </w:pPr>
            <w:r>
              <w:rPr>
                <w:sz w:val="24"/>
              </w:rPr>
            </w:r>
          </w:p>
        </w:tc>
      </w:tr>
      <w:tr>
        <w:tc>
          <w:tcPr>
            <w:gridSpan w:val="6"/>
            <w:tcW w:w="9071" w:type="dxa"/>
            <w:tcBorders>
              <w:top w:val="nil"/>
              <w:left w:val="nil"/>
              <w:bottom w:val="single" w:sz="4"/>
              <w:right w:val="nil"/>
            </w:tcBorders>
          </w:tcPr>
          <w:p>
            <w:pPr>
              <w:pStyle w:val="0"/>
            </w:pPr>
            <w:r>
              <w:rPr>
                <w:sz w:val="24"/>
              </w:rPr>
            </w:r>
          </w:p>
        </w:tc>
      </w:tr>
      <w:tr>
        <w:tc>
          <w:tcPr>
            <w:gridSpan w:val="6"/>
            <w:tcW w:w="9071" w:type="dxa"/>
            <w:tcBorders>
              <w:top w:val="single" w:sz="4"/>
              <w:left w:val="nil"/>
              <w:bottom w:val="nil"/>
              <w:right w:val="nil"/>
            </w:tcBorders>
          </w:tcPr>
          <w:p>
            <w:pPr>
              <w:pStyle w:val="0"/>
              <w:jc w:val="center"/>
            </w:pPr>
            <w:r>
              <w:rPr>
                <w:sz w:val="24"/>
              </w:rPr>
              <w:t xml:space="preserve">(Ф.И.О. обвиняемого (подсудимого, осужденного), дата рождения)</w:t>
            </w:r>
          </w:p>
        </w:tc>
      </w:tr>
      <w:tr>
        <w:tc>
          <w:tcPr>
            <w:gridSpan w:val="6"/>
            <w:tcW w:w="9071" w:type="dxa"/>
            <w:tcBorders>
              <w:top w:val="nil"/>
              <w:left w:val="nil"/>
              <w:bottom w:val="nil"/>
              <w:right w:val="nil"/>
            </w:tcBorders>
          </w:tcPr>
          <w:p>
            <w:pPr>
              <w:pStyle w:val="1"/>
              <w:jc w:val="both"/>
            </w:pPr>
            <w:r>
              <w:rPr>
                <w:sz w:val="20"/>
              </w:rPr>
              <w:t xml:space="preserve">мера пресечения в  виде содержания под стражей изменена на залог,</w:t>
            </w:r>
          </w:p>
          <w:p>
            <w:pPr>
              <w:pStyle w:val="1"/>
              <w:jc w:val="both"/>
            </w:pPr>
            <w:r>
              <w:rPr>
                <w:sz w:val="20"/>
              </w:rPr>
              <w:t xml:space="preserve">что подтверждается протоколом о принятии залога от _____________.</w:t>
            </w:r>
          </w:p>
          <w:p>
            <w:pPr>
              <w:pStyle w:val="1"/>
              <w:jc w:val="both"/>
            </w:pPr>
            <w:r>
              <w:rPr>
                <w:sz w:val="20"/>
              </w:rPr>
              <w:t xml:space="preserve">                                                       (дата)</w:t>
            </w:r>
          </w:p>
        </w:tc>
      </w:tr>
      <w:tr>
        <w:tc>
          <w:tcPr>
            <w:gridSpan w:val="3"/>
            <w:tcW w:w="4512" w:type="dxa"/>
            <w:vAlign w:val="bottom"/>
            <w:tcBorders>
              <w:top w:val="nil"/>
              <w:left w:val="nil"/>
              <w:bottom w:val="nil"/>
              <w:right w:val="nil"/>
            </w:tcBorders>
          </w:tcPr>
          <w:p>
            <w:pPr>
              <w:pStyle w:val="0"/>
            </w:pPr>
            <w:r>
              <w:rPr>
                <w:sz w:val="24"/>
              </w:rPr>
              <w:t xml:space="preserve">Обвиняемый (подсудимый, осужденный)</w:t>
            </w:r>
          </w:p>
        </w:tc>
        <w:tc>
          <w:tcPr>
            <w:gridSpan w:val="3"/>
            <w:tcW w:w="4559" w:type="dxa"/>
            <w:tcBorders>
              <w:top w:val="nil"/>
              <w:left w:val="nil"/>
              <w:bottom w:val="single" w:sz="4"/>
              <w:right w:val="nil"/>
            </w:tcBorders>
          </w:tcPr>
          <w:p>
            <w:pPr>
              <w:pStyle w:val="0"/>
              <w:jc w:val="both"/>
            </w:pPr>
            <w:r>
              <w:rPr>
                <w:sz w:val="24"/>
              </w:rPr>
            </w:r>
          </w:p>
        </w:tc>
      </w:tr>
      <w:tr>
        <w:tc>
          <w:tcPr>
            <w:tcW w:w="2833" w:type="dxa"/>
            <w:vAlign w:val="bottom"/>
            <w:tcBorders>
              <w:top w:val="nil"/>
              <w:left w:val="nil"/>
              <w:bottom w:val="nil"/>
              <w:right w:val="nil"/>
            </w:tcBorders>
          </w:tcPr>
          <w:p>
            <w:pPr>
              <w:pStyle w:val="0"/>
            </w:pPr>
            <w:r>
              <w:rPr>
                <w:sz w:val="24"/>
              </w:rPr>
              <w:t xml:space="preserve">находится под стражей в</w:t>
            </w:r>
          </w:p>
        </w:tc>
        <w:tc>
          <w:tcPr>
            <w:gridSpan w:val="4"/>
            <w:tcW w:w="5863" w:type="dxa"/>
            <w:tcBorders>
              <w:top w:val="nil"/>
              <w:left w:val="nil"/>
              <w:bottom w:val="single" w:sz="4"/>
              <w:right w:val="nil"/>
            </w:tcBorders>
          </w:tcPr>
          <w:p>
            <w:pPr>
              <w:pStyle w:val="0"/>
              <w:jc w:val="both"/>
            </w:pPr>
            <w:r>
              <w:rPr>
                <w:sz w:val="24"/>
              </w:rPr>
            </w:r>
          </w:p>
        </w:tc>
        <w:tc>
          <w:tcPr>
            <w:tcW w:w="375" w:type="dxa"/>
            <w:vAlign w:val="bottom"/>
            <w:tcBorders>
              <w:top w:val="single" w:sz="4"/>
              <w:left w:val="nil"/>
              <w:bottom w:val="nil"/>
              <w:right w:val="nil"/>
            </w:tcBorders>
          </w:tcPr>
          <w:p>
            <w:pPr>
              <w:pStyle w:val="0"/>
              <w:jc w:val="both"/>
            </w:pPr>
            <w:r>
              <w:rPr>
                <w:sz w:val="24"/>
              </w:rPr>
              <w:t xml:space="preserve">.</w:t>
            </w:r>
          </w:p>
        </w:tc>
      </w:tr>
      <w:tr>
        <w:tc>
          <w:tcPr>
            <w:tcW w:w="2833" w:type="dxa"/>
            <w:tcBorders>
              <w:top w:val="nil"/>
              <w:left w:val="nil"/>
              <w:bottom w:val="nil"/>
              <w:right w:val="nil"/>
            </w:tcBorders>
          </w:tcPr>
          <w:p>
            <w:pPr>
              <w:pStyle w:val="0"/>
            </w:pPr>
            <w:r>
              <w:rPr>
                <w:sz w:val="24"/>
              </w:rPr>
            </w:r>
          </w:p>
        </w:tc>
        <w:tc>
          <w:tcPr>
            <w:gridSpan w:val="4"/>
            <w:tcW w:w="5863" w:type="dxa"/>
            <w:tcBorders>
              <w:top w:val="single" w:sz="4"/>
              <w:left w:val="nil"/>
              <w:bottom w:val="nil"/>
              <w:right w:val="nil"/>
            </w:tcBorders>
          </w:tcPr>
          <w:p>
            <w:pPr>
              <w:pStyle w:val="0"/>
              <w:jc w:val="center"/>
            </w:pPr>
            <w:r>
              <w:rPr>
                <w:sz w:val="24"/>
              </w:rPr>
              <w:t xml:space="preserve">(наименование места содержания под стражей)</w:t>
            </w:r>
          </w:p>
        </w:tc>
        <w:tc>
          <w:tcPr>
            <w:tcW w:w="375" w:type="dxa"/>
            <w:tcBorders>
              <w:top w:val="nil"/>
              <w:left w:val="nil"/>
              <w:bottom w:val="nil"/>
              <w:right w:val="nil"/>
            </w:tcBorders>
          </w:tcPr>
          <w:p>
            <w:pPr>
              <w:pStyle w:val="0"/>
              <w:jc w:val="both"/>
            </w:pPr>
            <w:r>
              <w:rPr>
                <w:sz w:val="24"/>
              </w:rPr>
            </w:r>
          </w:p>
        </w:tc>
      </w:tr>
      <w:tr>
        <w:tc>
          <w:tcPr>
            <w:gridSpan w:val="6"/>
            <w:tcW w:w="9071" w:type="dxa"/>
            <w:tcBorders>
              <w:top w:val="nil"/>
              <w:left w:val="nil"/>
              <w:bottom w:val="nil"/>
              <w:right w:val="nil"/>
            </w:tcBorders>
          </w:tcPr>
          <w:p>
            <w:pPr>
              <w:pStyle w:val="0"/>
              <w:jc w:val="both"/>
            </w:pPr>
            <w:r>
              <w:rPr>
                <w:sz w:val="24"/>
              </w:rPr>
              <w:t xml:space="preserve">На основании изложенного осужденный ______________________________________ подлежит немедленному освобождению из-под стражи.</w:t>
            </w:r>
          </w:p>
        </w:tc>
      </w:tr>
      <w:tr>
        <w:tc>
          <w:tcPr>
            <w:gridSpan w:val="6"/>
            <w:tcW w:w="9071" w:type="dxa"/>
            <w:tcBorders>
              <w:top w:val="nil"/>
              <w:left w:val="nil"/>
              <w:bottom w:val="nil"/>
              <w:right w:val="nil"/>
            </w:tcBorders>
          </w:tcPr>
          <w:p>
            <w:pPr>
              <w:pStyle w:val="1"/>
              <w:jc w:val="both"/>
            </w:pPr>
            <w:r>
              <w:rPr>
                <w:sz w:val="20"/>
              </w:rPr>
              <w:t xml:space="preserve">Приложение: копия протокола о принятии залога от _________ на ___</w:t>
            </w:r>
          </w:p>
          <w:p>
            <w:pPr>
              <w:pStyle w:val="1"/>
              <w:jc w:val="both"/>
            </w:pPr>
            <w:r>
              <w:rPr>
                <w:sz w:val="20"/>
              </w:rPr>
              <w:t xml:space="preserve">                                                  (дата)</w:t>
            </w:r>
          </w:p>
          <w:p>
            <w:pPr>
              <w:pStyle w:val="1"/>
              <w:jc w:val="both"/>
            </w:pPr>
            <w:r>
              <w:rPr>
                <w:sz w:val="20"/>
              </w:rPr>
              <w:t xml:space="preserve">листах.</w:t>
            </w:r>
          </w:p>
        </w:tc>
      </w:tr>
      <w:tr>
        <w:tc>
          <w:tcPr>
            <w:gridSpan w:val="6"/>
            <w:tcW w:w="9071" w:type="dxa"/>
            <w:vAlign w:val="bottom"/>
            <w:tcBorders>
              <w:top w:val="nil"/>
              <w:left w:val="nil"/>
              <w:bottom w:val="nil"/>
              <w:right w:val="nil"/>
            </w:tcBorders>
          </w:tcPr>
          <w:p>
            <w:pPr>
              <w:pStyle w:val="0"/>
            </w:pPr>
            <w:r>
              <w:rPr>
                <w:sz w:val="24"/>
              </w:rPr>
              <w:t xml:space="preserve">Председатель суда</w:t>
            </w:r>
          </w:p>
          <w:p>
            <w:pPr>
              <w:pStyle w:val="0"/>
            </w:pPr>
            <w:r>
              <w:rPr>
                <w:sz w:val="24"/>
              </w:rPr>
              <w:t xml:space="preserve">(Судья)</w:t>
            </w:r>
          </w:p>
        </w:tc>
      </w:tr>
      <w:tr>
        <w:tc>
          <w:tcPr>
            <w:gridSpan w:val="6"/>
            <w:tcW w:w="9071" w:type="dxa"/>
            <w:vAlign w:val="center"/>
            <w:tcBorders>
              <w:top w:val="nil"/>
              <w:left w:val="nil"/>
              <w:bottom w:val="nil"/>
              <w:right w:val="nil"/>
            </w:tcBorders>
          </w:tcPr>
          <w:p>
            <w:pPr>
              <w:pStyle w:val="0"/>
            </w:pPr>
            <w:r>
              <w:rPr>
                <w:sz w:val="24"/>
              </w:rPr>
              <w:t xml:space="preserve">Работник аппарата суда</w:t>
            </w:r>
          </w:p>
        </w:tc>
      </w:tr>
      <w:tr>
        <w:tc>
          <w:tcPr>
            <w:gridSpan w:val="6"/>
            <w:tcW w:w="9071" w:type="dxa"/>
            <w:vAlign w:val="center"/>
            <w:tcBorders>
              <w:top w:val="nil"/>
              <w:left w:val="nil"/>
              <w:bottom w:val="nil"/>
              <w:right w:val="nil"/>
            </w:tcBorders>
          </w:tcPr>
          <w:p>
            <w:pPr>
              <w:pStyle w:val="0"/>
            </w:pPr>
            <w:r>
              <w:rPr>
                <w:sz w:val="24"/>
              </w:rPr>
              <w:t xml:space="preserve">Печать</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30.12.2025 N 265</w:t>
            <w:br/>
            <w:t>"О внесении изменений в Инструкцию по судебному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610&amp;date=26.01.2026&amp;demo=2" TargetMode = "External"/><Relationship Id="rId9" Type="http://schemas.openxmlformats.org/officeDocument/2006/relationships/hyperlink" Target="https://login.consultant.ru/link/?req=doc&amp;base=LAW&amp;n=514049&amp;date=26.01.2026&amp;dst=100010&amp;field=134&amp;demo=2" TargetMode = "External"/><Relationship Id="rId10" Type="http://schemas.openxmlformats.org/officeDocument/2006/relationships/hyperlink" Target="https://login.consultant.ru/link/?req=doc&amp;base=LAW&amp;n=514049&amp;date=26.01.2026&amp;dst=100044&amp;field=134&amp;demo=2" TargetMode = "External"/><Relationship Id="rId11" Type="http://schemas.openxmlformats.org/officeDocument/2006/relationships/hyperlink" Target="https://login.consultant.ru/link/?req=doc&amp;base=LAW&amp;n=514049&amp;date=26.01.2026&amp;dst=101749&amp;field=134&amp;demo=2" TargetMode = "External"/><Relationship Id="rId12" Type="http://schemas.openxmlformats.org/officeDocument/2006/relationships/hyperlink" Target="https://login.consultant.ru/link/?req=doc&amp;base=LAW&amp;n=514049&amp;date=26.01.2026&amp;dst=100257&amp;field=134&amp;demo=2" TargetMode = "External"/><Relationship Id="rId13" Type="http://schemas.openxmlformats.org/officeDocument/2006/relationships/hyperlink" Target="https://login.consultant.ru/link/?req=doc&amp;base=LAW&amp;n=514049&amp;date=26.01.2026&amp;dst=100258&amp;field=134&amp;demo=2" TargetMode = "External"/><Relationship Id="rId14" Type="http://schemas.openxmlformats.org/officeDocument/2006/relationships/hyperlink" Target="https://login.consultant.ru/link/?req=doc&amp;base=LAW&amp;n=514049&amp;date=26.01.2026&amp;dst=100010&amp;field=134&amp;demo=2" TargetMode = "External"/><Relationship Id="rId15" Type="http://schemas.openxmlformats.org/officeDocument/2006/relationships/hyperlink" Target="https://login.consultant.ru/link/?req=doc&amp;base=LAW&amp;n=510655&amp;date=26.01.2026&amp;dst=302&amp;field=134&amp;demo=2" TargetMode = "External"/><Relationship Id="rId16" Type="http://schemas.openxmlformats.org/officeDocument/2006/relationships/hyperlink" Target="https://login.consultant.ru/link/?req=doc&amp;base=LAW&amp;n=359309&amp;date=26.01.2026&amp;dst=100010&amp;field=134&amp;demo=2" TargetMode = "External"/><Relationship Id="rId17" Type="http://schemas.openxmlformats.org/officeDocument/2006/relationships/hyperlink" Target="https://login.consultant.ru/link/?req=doc&amp;base=LAW&amp;n=523571&amp;date=26.01.2026&amp;dst=100491&amp;field=134&amp;demo=2" TargetMode = "External"/><Relationship Id="rId18" Type="http://schemas.openxmlformats.org/officeDocument/2006/relationships/hyperlink" Target="https://login.consultant.ru/link/?req=doc&amp;base=LAW&amp;n=514049&amp;date=26.01.2026&amp;dst=100260&amp;field=134&amp;demo=2" TargetMode = "External"/><Relationship Id="rId19" Type="http://schemas.openxmlformats.org/officeDocument/2006/relationships/hyperlink" Target="https://login.consultant.ru/link/?req=doc&amp;base=LAW&amp;n=514049&amp;date=26.01.2026&amp;dst=100261&amp;field=134&amp;demo=2" TargetMode = "External"/><Relationship Id="rId20" Type="http://schemas.openxmlformats.org/officeDocument/2006/relationships/hyperlink" Target="https://login.consultant.ru/link/?req=doc&amp;base=LAW&amp;n=514049&amp;date=26.01.2026&amp;dst=100260&amp;field=134&amp;demo=2" TargetMode = "External"/><Relationship Id="rId21" Type="http://schemas.openxmlformats.org/officeDocument/2006/relationships/hyperlink" Target="https://login.consultant.ru/link/?req=doc&amp;base=LAW&amp;n=514049&amp;date=26.01.2026&amp;dst=100261&amp;field=134&amp;demo=2" TargetMode = "External"/><Relationship Id="rId22" Type="http://schemas.openxmlformats.org/officeDocument/2006/relationships/hyperlink" Target="https://login.consultant.ru/link/?req=doc&amp;base=LAW&amp;n=514049&amp;date=26.01.2026&amp;dst=101830&amp;field=134&amp;demo=2" TargetMode = "External"/><Relationship Id="rId23" Type="http://schemas.openxmlformats.org/officeDocument/2006/relationships/hyperlink" Target="https://login.consultant.ru/link/?req=doc&amp;base=LAW&amp;n=514049&amp;date=26.01.2026&amp;dst=100010&amp;field=134&amp;demo=2" TargetMode = "External"/><Relationship Id="rId24" Type="http://schemas.openxmlformats.org/officeDocument/2006/relationships/hyperlink" Target="https://login.consultant.ru/link/?req=doc&amp;base=LAW&amp;n=514049&amp;date=26.01.2026&amp;dst=10044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30.12.2025 N 265
"О внесении изменений в Инструкцию по судебному делопроизводству в кассационных судах общей юрисдикции, утвержденную приказом Судебного департамента при Верховном Суде Российской Федерации от 1 октября 2019 г. N 224"</dc:title>
  <dcterms:created xsi:type="dcterms:W3CDTF">2026-01-26T13:52:37Z</dcterms:created>
</cp:coreProperties>
</file>