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center"/>
      </w:pPr>
      <w:r>
        <w:rPr>
          <w:sz w:val="24"/>
        </w:rPr>
      </w:r>
    </w:p>
    <w:p>
      <w:pPr>
        <w:pStyle w:val="2"/>
        <w:jc w:val="center"/>
      </w:pPr>
      <w:r>
        <w:rPr>
          <w:sz w:val="24"/>
        </w:rPr>
        <w:t xml:space="preserve">ФЕДЕРАЛЬНАЯ СЛУЖБА ПО ЭКОЛОГИЧЕСКОМУ, ТЕХНОЛОГИЧЕСКОМУ</w:t>
      </w:r>
    </w:p>
    <w:p>
      <w:pPr>
        <w:pStyle w:val="2"/>
        <w:jc w:val="center"/>
      </w:pPr>
      <w:r>
        <w:rPr>
          <w:sz w:val="24"/>
        </w:rPr>
        <w:t xml:space="preserve">И АТОМНОМУ НАДЗОРУ</w:t>
      </w:r>
    </w:p>
    <w:p>
      <w:pPr>
        <w:pStyle w:val="2"/>
        <w:jc w:val="center"/>
      </w:pPr>
      <w:r>
        <w:rPr>
          <w:sz w:val="24"/>
        </w:rPr>
      </w:r>
    </w:p>
    <w:p>
      <w:pPr>
        <w:pStyle w:val="2"/>
        <w:jc w:val="center"/>
      </w:pPr>
      <w:r>
        <w:rPr>
          <w:sz w:val="24"/>
        </w:rPr>
        <w:t xml:space="preserve">ПИСЬМО</w:t>
      </w:r>
    </w:p>
    <w:p>
      <w:pPr>
        <w:pStyle w:val="2"/>
        <w:jc w:val="center"/>
      </w:pPr>
      <w:r>
        <w:rPr>
          <w:sz w:val="24"/>
        </w:rPr>
        <w:t xml:space="preserve">от 2 октября 2025 г. N 09-04-05/3887</w:t>
      </w:r>
    </w:p>
    <w:p>
      <w:pPr>
        <w:pStyle w:val="2"/>
        <w:jc w:val="center"/>
      </w:pPr>
      <w:r>
        <w:rPr>
          <w:sz w:val="24"/>
        </w:rPr>
      </w:r>
    </w:p>
    <w:p>
      <w:pPr>
        <w:pStyle w:val="2"/>
        <w:jc w:val="center"/>
      </w:pPr>
      <w:r>
        <w:rPr>
          <w:sz w:val="24"/>
        </w:rPr>
        <w:t xml:space="preserve">О РАССМОТРЕНИИ ОБРАЩЕНИЯ</w:t>
      </w:r>
    </w:p>
    <w:p>
      <w:pPr>
        <w:pStyle w:val="0"/>
        <w:jc w:val="center"/>
      </w:pPr>
      <w:r>
        <w:rPr>
          <w:sz w:val="24"/>
        </w:rPr>
      </w:r>
    </w:p>
    <w:p>
      <w:pPr>
        <w:pStyle w:val="0"/>
        <w:ind w:firstLine="540"/>
        <w:jc w:val="both"/>
      </w:pPr>
      <w:r>
        <w:rPr>
          <w:sz w:val="24"/>
        </w:rPr>
        <w:t xml:space="preserve">Управление государственного строительного надзора Ростехнадзора по результатам рассмотрения обращения по вопросу проведения технического освидетельствования эскалаторов, пассажирских конвейеров, подъемных платформ для инвалидов (далее - объекты) сообщает следующее.</w:t>
      </w:r>
    </w:p>
    <w:p>
      <w:pPr>
        <w:pStyle w:val="0"/>
        <w:spacing w:before="240" w:lineRule="auto"/>
        <w:ind w:firstLine="540"/>
        <w:jc w:val="both"/>
      </w:pPr>
      <w:hyperlink w:history="0" r:id="rId7" w:tooltip="Постановление Правительства РФ от 20.10.2023 N 1744 (ред. от 15.11.2025) &quot;Об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quot; (вместе с &quot;Правилами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 {КонсультантПлюс}">
        <w:r>
          <w:rPr>
            <w:sz w:val="24"/>
            <w:color w:val="0000ff"/>
          </w:rPr>
          <w:t xml:space="preserve">Абзацем вторым пункта 25</w:t>
        </w:r>
      </w:hyperlink>
      <w:r>
        <w:rPr>
          <w:sz w:val="24"/>
        </w:rPr>
        <w:t xml:space="preserve"> Правил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утвержденных постановлением Правительства Российской Федерации от 20 октября 2023 г. N 1744 (далее - Правила N 1744), предусмотрено, что техническое освидетельствование и обследование объектов осуществляется органом инспекции или испытательной лабораторией, аккредитованными в порядке, установленном законодательством Российской Федерации об аккредитации в национальной системе аккредитации, и имеющими специалистов (экспертов) по оценке соответствия подъемных платформ для инвалидов, пассажирских конвейеров (движущихся пешеходных дорожек) и эскалаторов.</w:t>
      </w:r>
    </w:p>
    <w:p>
      <w:pPr>
        <w:pStyle w:val="0"/>
        <w:spacing w:before="240" w:lineRule="auto"/>
        <w:ind w:firstLine="540"/>
        <w:jc w:val="both"/>
      </w:pPr>
      <w:r>
        <w:rPr>
          <w:sz w:val="24"/>
        </w:rPr>
        <w:t xml:space="preserve">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аккредитации юридических лиц и индивидуальных предпринимателей в национальной системе аккредитации, является Министерство экономического развития Российской Федерации, которое осуществляет координацию и контроль деятельности подведомственной ему Федеральной службы по аккредитации.</w:t>
      </w:r>
    </w:p>
    <w:p>
      <w:pPr>
        <w:pStyle w:val="0"/>
        <w:spacing w:before="240" w:lineRule="auto"/>
        <w:ind w:firstLine="540"/>
        <w:jc w:val="both"/>
      </w:pPr>
      <w:r>
        <w:rPr>
          <w:sz w:val="24"/>
        </w:rPr>
        <w:t xml:space="preserve">В соответствии с </w:t>
      </w:r>
      <w:hyperlink w:history="0" r:id="rId8" w:tooltip="Постановление Правительства РФ от 17.10.2011 N 845 (ред. от 30.05.2025) &quot;О Федеральной службе по аккредитации&quot; (вместе с &quot;Положением о Федеральной службе по аккредитации&quot;) {КонсультантПлюс}">
        <w:r>
          <w:rPr>
            <w:sz w:val="24"/>
            <w:color w:val="0000ff"/>
          </w:rPr>
          <w:t xml:space="preserve">пунктом 5.1.12</w:t>
        </w:r>
      </w:hyperlink>
      <w:r>
        <w:rPr>
          <w:sz w:val="24"/>
        </w:rPr>
        <w:t xml:space="preserve"> Положения о Федеральной службе по аккредитации, утвержденного постановлением Правительства Российской Федерации от 17.10.2022 N 845, полномочия по формированию и ведению реестра аккредитованных лиц, реестра экспертов по аккредитации, реестра технических экспертов, реестра экспертных организаций, предоставление сведений из указанных реестров, осуществляет Федеральная служба по аккредитации.</w:t>
      </w:r>
    </w:p>
    <w:p>
      <w:pPr>
        <w:pStyle w:val="0"/>
        <w:spacing w:before="240" w:lineRule="auto"/>
        <w:ind w:firstLine="540"/>
        <w:jc w:val="both"/>
      </w:pPr>
      <w:r>
        <w:rPr>
          <w:sz w:val="24"/>
        </w:rPr>
        <w:t xml:space="preserve">Разработка методик и методов проведения технического освидетельствования объектов, а также документов, регламентирующих деятельность органов инспекций или испытательных лабораторий в части проведения технического освидетельствования и обследования объектов, в том числе ведения реестра аккредитованных лиц, к сфере деятельности Ростехнадзора не относится.</w:t>
      </w:r>
    </w:p>
    <w:p>
      <w:pPr>
        <w:pStyle w:val="0"/>
        <w:spacing w:before="240" w:lineRule="auto"/>
        <w:ind w:firstLine="540"/>
        <w:jc w:val="both"/>
      </w:pPr>
      <w:r>
        <w:rPr>
          <w:sz w:val="24"/>
        </w:rPr>
        <w:t xml:space="preserve">Кроме того, испытательные лаборатории, аккредитованные на проведение работ по оценке соответствия лифтов, имеющие специалистов (экспертов) по оценке соответствия объектов, могут подать заявление на расширение области аккредитации на основании самостоятельно разработанных методик выполнения проверок и испытаний объектов.</w:t>
      </w:r>
    </w:p>
    <w:p>
      <w:pPr>
        <w:pStyle w:val="0"/>
        <w:spacing w:before="240" w:lineRule="auto"/>
        <w:ind w:firstLine="540"/>
        <w:jc w:val="both"/>
      </w:pPr>
      <w:hyperlink w:history="0" r:id="rId9" w:tooltip="Постановление Правительства РФ от 20.10.2023 N 1744 (ред. от 15.11.2025) &quot;Об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quot; (вместе с &quot;Правилами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 {КонсультантПлюс}">
        <w:r>
          <w:rPr>
            <w:sz w:val="24"/>
            <w:color w:val="0000ff"/>
          </w:rPr>
          <w:t xml:space="preserve">Подпунктом "п" пункта 4</w:t>
        </w:r>
      </w:hyperlink>
      <w:r>
        <w:rPr>
          <w:sz w:val="24"/>
        </w:rPr>
        <w:t xml:space="preserve"> Правил N 1744 предусмотрено приостановление использования объекта по назначению в случае обнаружения при осмотре объекта или во время его работы неисправности устройств безопасности, сигнализации, а также других неисправностей, угрожающих безопасному использованию объекта либо его обслуживанию, до устранения таких неисправностей. Иных требований к приостановке объектов </w:t>
      </w:r>
      <w:hyperlink w:history="0" r:id="rId10" w:tooltip="Постановление Правительства РФ от 20.10.2023 N 1744 (ред. от 15.11.2025) &quot;Об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quot; (вместе с &quot;Правилами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 {КонсультантПлюс}">
        <w:r>
          <w:rPr>
            <w:sz w:val="24"/>
            <w:color w:val="0000ff"/>
          </w:rPr>
          <w:t xml:space="preserve">Правилами</w:t>
        </w:r>
      </w:hyperlink>
      <w:r>
        <w:rPr>
          <w:sz w:val="24"/>
        </w:rPr>
        <w:t xml:space="preserve"> N 1744 не установлено.</w:t>
      </w:r>
    </w:p>
    <w:p>
      <w:pPr>
        <w:pStyle w:val="0"/>
        <w:spacing w:before="240" w:lineRule="auto"/>
        <w:ind w:firstLine="540"/>
        <w:jc w:val="both"/>
      </w:pPr>
      <w:r>
        <w:rPr>
          <w:sz w:val="24"/>
        </w:rPr>
        <w:t xml:space="preserve">Вместе с тем организация безопасного использования и содержания объекта обеспечивается владельцем объекта и включает в числе прочего: организацию проведения технического освидетельствования объекта в течение назначенного срока службы (</w:t>
      </w:r>
      <w:hyperlink w:history="0" r:id="rId11" w:tooltip="Постановление Правительства РФ от 20.10.2023 N 1744 (ред. от 15.11.2025) &quot;Об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quot; (вместе с &quot;Правилами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 {КонсультантПлюс}">
        <w:r>
          <w:rPr>
            <w:sz w:val="24"/>
            <w:color w:val="0000ff"/>
          </w:rPr>
          <w:t xml:space="preserve">подпункт "д" пункта 4</w:t>
        </w:r>
      </w:hyperlink>
      <w:r>
        <w:rPr>
          <w:sz w:val="24"/>
        </w:rPr>
        <w:t xml:space="preserve"> Правил N 1744).</w:t>
      </w:r>
    </w:p>
    <w:p>
      <w:pPr>
        <w:pStyle w:val="0"/>
        <w:spacing w:before="240" w:lineRule="auto"/>
        <w:ind w:firstLine="540"/>
        <w:jc w:val="both"/>
      </w:pPr>
      <w:r>
        <w:rPr>
          <w:sz w:val="24"/>
        </w:rPr>
        <w:t xml:space="preserve">Дополнительно сообщаем, что в соответствии с </w:t>
      </w:r>
      <w:hyperlink w:history="0" r:id="rId12"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пунктом 2</w:t>
        </w:r>
      </w:hyperlink>
      <w:r>
        <w:rPr>
          <w:sz w:val="24"/>
        </w:rPr>
        <w:t xml:space="preserve">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13.08.1997 N 1009, письма федеральных органов исполнительной власти не являются нормативными правовыми актами.</w:t>
      </w:r>
    </w:p>
    <w:p>
      <w:pPr>
        <w:pStyle w:val="0"/>
        <w:spacing w:before="240" w:lineRule="auto"/>
        <w:ind w:firstLine="540"/>
        <w:jc w:val="both"/>
      </w:pPr>
      <w:r>
        <w:rPr>
          <w:sz w:val="24"/>
        </w:rPr>
        <w:t xml:space="preserve">В этой связи следует учитывать, что письма Ростехнадзора и его структурных подразделений, в которых разъясняются вопросы применения нормативных правовых актов, не содержат правовых норм,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ind w:firstLine="540"/>
        <w:jc w:val="both"/>
      </w:pPr>
      <w:r>
        <w:rPr>
          <w:sz w:val="24"/>
        </w:rPr>
      </w:r>
    </w:p>
    <w:p>
      <w:pPr>
        <w:pStyle w:val="0"/>
        <w:jc w:val="right"/>
      </w:pPr>
      <w:r>
        <w:rPr>
          <w:sz w:val="24"/>
        </w:rPr>
        <w:t xml:space="preserve">Начальник Управления</w:t>
      </w:r>
    </w:p>
    <w:p>
      <w:pPr>
        <w:pStyle w:val="0"/>
        <w:jc w:val="right"/>
      </w:pPr>
      <w:r>
        <w:rPr>
          <w:sz w:val="24"/>
        </w:rPr>
        <w:t xml:space="preserve">государственного строительного надзора</w:t>
      </w:r>
    </w:p>
    <w:p>
      <w:pPr>
        <w:pStyle w:val="0"/>
        <w:jc w:val="right"/>
      </w:pPr>
      <w:r>
        <w:rPr>
          <w:sz w:val="24"/>
        </w:rPr>
        <w:t xml:space="preserve">А.Н.ГОРЛОВ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Ростехнадзора от 02.10.2025 N 09-04-05/3887</w:t>
            <w:br/>
            <w:t>"О рассмотрении обращения"</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02.02.2026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Ростехнадзора от 02.10.2025 N 09-04-05/3887 "О рассмотрении обращения"</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02.02.2026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18997&amp;date=02.02.2026&amp;dst=100143&amp;field=134&amp;demo=2" TargetMode = "External"/><Relationship Id="rId8" Type="http://schemas.openxmlformats.org/officeDocument/2006/relationships/hyperlink" Target="https://login.consultant.ru/link/?req=doc&amp;base=LAW&amp;n=506851&amp;date=02.02.2026&amp;dst=12&amp;field=134&amp;demo=2" TargetMode = "External"/><Relationship Id="rId9" Type="http://schemas.openxmlformats.org/officeDocument/2006/relationships/hyperlink" Target="https://login.consultant.ru/link/?req=doc&amp;base=LAW&amp;n=518997&amp;date=02.02.2026&amp;dst=100055&amp;field=134&amp;demo=2" TargetMode = "External"/><Relationship Id="rId10" Type="http://schemas.openxmlformats.org/officeDocument/2006/relationships/hyperlink" Target="https://login.consultant.ru/link/?req=doc&amp;base=LAW&amp;n=518997&amp;date=02.02.2026&amp;dst=100018&amp;field=134&amp;demo=2" TargetMode = "External"/><Relationship Id="rId11" Type="http://schemas.openxmlformats.org/officeDocument/2006/relationships/hyperlink" Target="https://login.consultant.ru/link/?req=doc&amp;base=LAW&amp;n=518997&amp;date=02.02.2026&amp;dst=100043&amp;field=134&amp;demo=2" TargetMode = "External"/><Relationship Id="rId12" Type="http://schemas.openxmlformats.org/officeDocument/2006/relationships/hyperlink" Target="https://login.consultant.ru/link/?req=doc&amp;base=LAW&amp;n=490536&amp;date=02.02.2026&amp;dst=157&amp;field=134&amp;demo=2" TargetMode = "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Ростехнадзора от 02.10.2025 N 09-04-05/3887
"О рассмотрении обращения"</dc:title>
  <dcterms:created xsi:type="dcterms:W3CDTF">2026-02-02T14:14:50Z</dcterms:created>
</cp:coreProperties>
</file>