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&lt;Информация&gt; Росреестра</w:t>
              <w:br/>
              <w:t xml:space="preserve">"Дайджест законодательных изменений в сфере земли и недвижимости. IV квартал 2025"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ДАЙДЖЕСТ</w:t>
      </w:r>
    </w:p>
    <w:p>
      <w:pPr>
        <w:pStyle w:val="2"/>
        <w:jc w:val="center"/>
      </w:pPr>
      <w:r>
        <w:rPr>
          <w:sz w:val="24"/>
        </w:rPr>
        <w:t xml:space="preserve">ЗАКОНОДАТЕЛЬНЫХ ИЗМЕНЕНИЙ В СФЕРЕ ЗЕМЛИ И НЕДВИЖИМОСТИ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IV КВАРТАЛ 2025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bottom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64"/>
        <w:gridCol w:w="880"/>
        <w:gridCol w:w="454"/>
        <w:gridCol w:w="3552"/>
        <w:gridCol w:w="4535"/>
      </w:tblGrid>
      <w:tr>
        <w:tblPrEx>
          <w:tblBorders>
            <w:insideV w:val="nil"/>
          </w:tblBorders>
        </w:tblPrEx>
        <w:tc>
          <w:tcPr>
            <w:gridSpan w:val="2"/>
            <w:tcW w:w="1644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position w:val="-71"/>
              </w:rPr>
              <w:drawing>
                <wp:inline distT="0" distB="0" distL="0" distR="0">
                  <wp:extent cx="965200" cy="106616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1066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3"/>
            <w:tcW w:w="8541" w:type="dxa"/>
            <w:vAlign w:val="center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Росреестр</w:t>
            </w:r>
          </w:p>
          <w:p>
            <w:pPr>
              <w:pStyle w:val="0"/>
            </w:pPr>
            <w:r>
              <w:rPr>
                <w:sz w:val="24"/>
              </w:rPr>
              <w:t xml:space="preserve">Федеральная служба</w:t>
            </w:r>
          </w:p>
          <w:p>
            <w:pPr>
              <w:pStyle w:val="0"/>
            </w:pPr>
            <w:r>
              <w:rPr>
                <w:sz w:val="24"/>
              </w:rPr>
              <w:t xml:space="preserve">государственной регистрации,</w:t>
            </w:r>
          </w:p>
          <w:p>
            <w:pPr>
              <w:pStyle w:val="0"/>
            </w:pPr>
            <w:r>
              <w:rPr>
                <w:sz w:val="24"/>
              </w:rPr>
              <w:t xml:space="preserve">кадастра и картографии</w:t>
            </w:r>
          </w:p>
        </w:tc>
      </w:tr>
      <w:tr>
        <w:tc>
          <w:tcPr>
            <w:gridSpan w:val="5"/>
            <w:tcW w:w="10185" w:type="dxa"/>
            <w:tcBorders>
              <w:left w:val="nil"/>
              <w:right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sz w:val="24"/>
              </w:rPr>
              <w:t xml:space="preserve">Наполнение ЕГРН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76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9421" w:type="dxa"/>
            <w:tcBorders>
              <w:bottom w:val="nil"/>
            </w:tcBorders>
          </w:tcPr>
          <w:p>
            <w:pPr>
              <w:pStyle w:val="0"/>
              <w:outlineLvl w:val="1"/>
            </w:pPr>
            <w:r>
              <w:rPr>
                <w:sz w:val="24"/>
              </w:rPr>
              <w:t xml:space="preserve">Федеральный </w:t>
            </w:r>
            <w:hyperlink w:history="0" r:id="rId9" w:tooltip="Федеральный закон от 15.12.2025 N 478-ФЗ &quot;О внесении изменений в Федеральный закон &quot;О государственной регистрации недвижимост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15.12.2025 N 478-ФЗ "О внесении изменений в Федеральный закон "О государственной регистрации недвижимости"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18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(вступает в силу 01.07.2026)</w:t>
            </w:r>
          </w:p>
        </w:tc>
      </w:tr>
      <w:tr>
        <w:tc>
          <w:tcPr>
            <w:gridSpan w:val="3"/>
            <w:tcW w:w="2098" w:type="dxa"/>
            <w:vAlign w:val="bottom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Аудитория</w:t>
            </w:r>
          </w:p>
        </w:tc>
        <w:tc>
          <w:tcPr>
            <w:tcW w:w="3552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Было</w:t>
            </w:r>
          </w:p>
        </w:tc>
        <w:tc>
          <w:tcPr>
            <w:tcW w:w="4535" w:type="dxa"/>
            <w:vAlign w:val="bottom"/>
            <w:tcBorders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Стало</w:t>
            </w:r>
          </w:p>
        </w:tc>
      </w:tr>
      <w:tr>
        <w:tc>
          <w:tcPr>
            <w:gridSpan w:val="3"/>
            <w:tcW w:w="2098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Сведения о границах сельскохозяйственных угодий в составе земель сельскохозяйственного назначения не вносятся в Единый государственный реестр недвижимости.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Границы сельскохозяйственных угодий в составе земель сельскохозяйственного назначения считаются установленными или измененными со дня внесения соответствующих сведений в ЕГРН.</w:t>
            </w:r>
          </w:p>
          <w:p>
            <w:pPr>
              <w:pStyle w:val="0"/>
            </w:pPr>
            <w:r>
              <w:rPr>
                <w:sz w:val="24"/>
              </w:rPr>
              <w:t xml:space="preserve">В ЕГРН подлежат внесению сведения о границах сельхозугодий в составе земель сельскохозяйственного назначения: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- индивидуальное обозначение;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описание местоположения границ;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реквизиты решения уполномоченного органа об установлении или изменении границ сельхозугодий в составе земель сельскохозяйственного назначения.</w:t>
            </w:r>
          </w:p>
        </w:tc>
      </w:tr>
      <w:tr>
        <w:tc>
          <w:tcPr>
            <w:gridSpan w:val="3"/>
            <w:tcW w:w="2098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Пересечение границ земельного участка с границами сельскохозяйственных угодий в составе земель сельскохозяйственного назначения не является основанием для приостановления учетно-регистрационных действий.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кадастрового учета и (или) регистрации прав приостанавливается, если границы земельного участка, не относящегося к землям сельскохозяйственного назначения, оборот которых регулируется Федеральным </w:t>
            </w:r>
            <w:hyperlink w:history="0" r:id="rId11" w:tooltip="Федеральный закон от 24.07.2002 N 101-ФЗ (ред. от 29.12.2025) &quot;Об обороте земель сельскохозяйственного назначения&quot;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от 24 июля 2002 г. N 101-ФЗ "Об обороте земель сельскохозяйственного назначения", о кадастровом учете которого и (или) регистрации прав на который представлено заявление, пересекают границы сельскохозяйственных угодий в составе земель сельскохозяйственного назначения, сведения о которых содержатся в ЕГРН.</w:t>
            </w:r>
          </w:p>
        </w:tc>
      </w:tr>
      <w:tr>
        <w:tc>
          <w:tcPr>
            <w:gridSpan w:val="3"/>
            <w:tcW w:w="2098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Обязанность направлять в Росреестр сведения о сельскохозяйственных угодьях в составе земель сельхозназначения не установлена.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Минсельхоз России обязан направлять в орган регистрации прав документы (содержащиеся в них сведения) для внесения сведений в ЕГРН в случае принятия им решений (актов) об установлении, изменении границ сельскохозяйственных угодий в составе земель сельхозназначения.</w:t>
            </w:r>
          </w:p>
        </w:tc>
      </w:tr>
      <w:tr>
        <w:tc>
          <w:tcPr>
            <w:gridSpan w:val="5"/>
            <w:tcW w:w="10185" w:type="dxa"/>
            <w:tcBorders>
              <w:left w:val="nil"/>
              <w:right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sz w:val="24"/>
              </w:rPr>
              <w:t xml:space="preserve">Федерализация полномочий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76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9421" w:type="dxa"/>
            <w:tcBorders>
              <w:bottom w:val="nil"/>
            </w:tcBorders>
          </w:tcPr>
          <w:p>
            <w:pPr>
              <w:pStyle w:val="0"/>
              <w:outlineLvl w:val="1"/>
            </w:pPr>
            <w:r>
              <w:rPr>
                <w:sz w:val="24"/>
              </w:rPr>
              <w:t xml:space="preserve">Федеральный </w:t>
            </w:r>
            <w:hyperlink w:history="0" r:id="rId12" w:tooltip="Федеральный закон от 28.12.2025 N 491-ФЗ &quot;О внесении изменений в статью 72 Федерального закона &quot;О государственной регистрации недвижимости&quot; и статьи 1 и 3 Федерального закона &quot;О внесении изменений в Федеральный закон &quot;О государственной регистрации недвижимости&quot; и признании утратившими силу отдельных положений законодательных актов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28.12.2025 N 491-ФЗ "О внесении изменений в статью 72 Федерального закона "О государственной регистрации недвижимости" и статьи 1 и 3 Федерального закона "О внесении изменений в Федеральный закон "О государственной регистрации недвижимости" и признании утратившими силу отдельных положений законодательных актов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18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01.01.2026)</w:t>
            </w:r>
          </w:p>
        </w:tc>
      </w:tr>
      <w:tr>
        <w:tc>
          <w:tcPr>
            <w:gridSpan w:val="3"/>
            <w:tcW w:w="2098" w:type="dxa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Отдельные полномочия органа регистрации прав,</w:t>
            </w:r>
          </w:p>
          <w:p>
            <w:pPr>
              <w:pStyle w:val="0"/>
            </w:pPr>
            <w:r>
              <w:rPr>
                <w:sz w:val="24"/>
              </w:rPr>
              <w:t xml:space="preserve">ППК "Роскадастр" могут передаваться исполнительным органам Республики Крым и города федерального значения Севастополя (указанные органы считаются органами регистрации прав).</w:t>
            </w:r>
          </w:p>
        </w:tc>
        <w:tc>
          <w:tcPr>
            <w:tcW w:w="4535" w:type="dxa"/>
            <w:vAlign w:val="bottom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Прекращена реализация Госкомрегистром и Севреестром отдельных полномочий органа регистрации прав и ППК "Роскадастр";</w:t>
            </w:r>
          </w:p>
        </w:tc>
      </w:tr>
      <w:tr>
        <w:tc>
          <w:tcPr>
            <w:gridSpan w:val="3"/>
            <w:tcBorders>
              <w:left w:val="nil"/>
            </w:tcBorders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535" w:type="dxa"/>
            <w:tcBorders>
              <w:top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Считаются переданными в федеральную собственность и на хранение ППК "Роскадастр":</w:t>
            </w:r>
          </w:p>
          <w:p>
            <w:pPr>
              <w:pStyle w:val="0"/>
            </w:pPr>
            <w:r>
              <w:rPr>
                <w:sz w:val="24"/>
              </w:rPr>
              <w:t xml:space="preserve">- сформированные исполнительными органами в бумажной и электронной форме разделы ЕГРН, документы, подлежащие выдаче заявителям после осуществления кадастрового учета и (или) регистрации прав, но не полученные ими;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правоустанавливающие документы органов и (или) организаций, осуществлявших учет недвижимого имущества и (или) регистрацию прав до дня вступления в силу Федерального конституционного </w:t>
            </w:r>
            <w:hyperlink w:history="0" r:id="rId13" w:tooltip="Федеральный конституционный закон от 21.03.2014 N 6-ФКЗ (ред. от 30.11.2024) &quot;О принятии в Российскую Федерацию Республики Крым и образовании в составе Российской Федерации новых субъектов - Республики Крым и города федерального значения Севастополя&quot; {КонсультантПлюс}">
              <w:r>
                <w:rPr>
                  <w:sz w:val="24"/>
                  <w:color w:val="0000ff"/>
                </w:rPr>
                <w:t xml:space="preserve">закона</w:t>
              </w:r>
            </w:hyperlink>
            <w:r>
              <w:rPr>
                <w:sz w:val="24"/>
              </w:rPr>
              <w:t xml:space="preserve"> от 21.03.2014 N 6-ФКЗ "О принятии в Российскую Федерацию Республики Крым и образовании в составе Российской Федерации новых субъектов - Республики Крым и города федерального значения Севастополя";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документы, являющиеся основанием для внесения в ЕГРН сведений об объектах недвижимости как о ранее учтенных объектах недвижимости, иные документы, на основании которых внесены сведения в ЕГРН, а также иные документы, содержащие описание объектов недвижимости.</w:t>
            </w:r>
          </w:p>
        </w:tc>
      </w:tr>
      <w:tr>
        <w:tc>
          <w:tcPr>
            <w:gridSpan w:val="5"/>
            <w:tcW w:w="10185" w:type="dxa"/>
            <w:tcBorders>
              <w:left w:val="nil"/>
              <w:right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sz w:val="24"/>
              </w:rPr>
              <w:t xml:space="preserve">Зоны с особыми условиями использования территории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76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9421" w:type="dxa"/>
            <w:tcBorders>
              <w:bottom w:val="nil"/>
            </w:tcBorders>
          </w:tcPr>
          <w:p>
            <w:pPr>
              <w:pStyle w:val="0"/>
              <w:outlineLvl w:val="1"/>
            </w:pPr>
            <w:r>
              <w:rPr>
                <w:sz w:val="24"/>
              </w:rPr>
              <w:t xml:space="preserve">Федеральный </w:t>
            </w:r>
            <w:hyperlink w:history="0" r:id="rId14" w:tooltip="Федеральный закон от 28.12.2025 N 496-ФЗ &quot;О внесении изменений в статью 106 Земельного кодекса Российской Федерации и статью 26 Федерального закона &quot;О внесении изменений в Градостроительный кодекс Российской Федерации и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28.12.2025 N 496-ФЗ "О внесении изменений в статью 106 Земельного кодекса Российской Федерации и статью 26 Федерального закона "О внесении изменений в Градостроительный кодекс Российской Федерации и отдельные законодательные акты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18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01.01.2026)</w:t>
            </w:r>
          </w:p>
        </w:tc>
      </w:tr>
      <w:tr>
        <w:tc>
          <w:tcPr>
            <w:gridSpan w:val="3"/>
            <w:tcW w:w="2098" w:type="dxa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0"/>
              <w:jc w:val="center"/>
            </w:pPr>
            <w:r>
              <w:rPr>
                <w:sz w:val="24"/>
              </w:rPr>
            </w:r>
          </w:p>
          <w:p>
            <w:pPr>
              <w:pStyle w:val="0"/>
              <w:jc w:val="center"/>
            </w:pPr>
            <w:r>
              <w:rPr>
                <w:position w:val="-42"/>
              </w:rPr>
              <w:drawing>
                <wp:inline distT="0" distB="0" distL="0" distR="0">
                  <wp:extent cx="753745" cy="68707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745" cy="687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01.01.2026 истекает срок действия переходных положений, регулирующих правовой режим зон с особыми условиями использования территории (ЗОУИТ) в отсутствие действующих положений, соответствующих актуальным требованиям земельного законодательства.</w:t>
            </w:r>
          </w:p>
        </w:tc>
        <w:tc>
          <w:tcPr>
            <w:tcW w:w="4535" w:type="dxa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 5 лет продлен переходный период действия норм законодательства о зонах с особыми условиями использования территории (ЗОУИТ). Это необходимо для подготовки новых положений о ЗОУИТ, регулирующих их правовой режим. Установлена возможность вступления указанных положений в силу по мере их готовности.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Borders>
              <w:left w:val="nil"/>
            </w:tcBorders>
            <w:vMerge w:val="continue"/>
          </w:tcPr>
          <w:p/>
        </w:tc>
        <w:tc>
          <w:tcPr>
            <w:tcW w:w="3552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 границы ЗОУИТ может попасть значительное количество объектов капитального строительства. Возникают риски необходимости возмещения убытков, причиненных в связи с ограничением прав правообладателей объектов недвижимости, а также роста социальной напряженности.</w:t>
            </w:r>
          </w:p>
        </w:tc>
        <w:tc>
          <w:tcPr>
            <w:tcW w:w="4535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Закреплена возможность внесения в положения о ЗОУИТ мероприятий, направленных на обеспечение безопасной эксплуатации объектов (в отношении которых устанавливается ЗОУИТ), в ходе которых могут быть изменены предельные размеры ЗОУИТ.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Borders>
              <w:left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535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Положение о ЗОУИТ может предусматривать особенности установления ЗОУИТ</w:t>
            </w:r>
          </w:p>
          <w:p>
            <w:pPr>
              <w:pStyle w:val="0"/>
            </w:pPr>
            <w:r>
              <w:rPr>
                <w:sz w:val="24"/>
              </w:rPr>
              <w:t xml:space="preserve">в границах городов федерального значения и иных населенных пунктов с учетом сложившейся градостроительной ситуации в субъектах РФ. Например, иные предельные размеры таких зон или правила определения размеров указанных зон, иные ограничения использования земельных участков в границах таких ЗОУИТ.</w:t>
            </w:r>
          </w:p>
        </w:tc>
      </w:tr>
      <w:tr>
        <w:tc>
          <w:tcPr>
            <w:gridSpan w:val="3"/>
            <w:tcBorders>
              <w:left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535" w:type="dxa"/>
            <w:tcBorders>
              <w:top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 утверждении положения о ЗОУИТ Правительство РФ вправе установить возможность неприменения ограничений использования земельных участков в границах ЗОУИТ в отношении зданий, сооружений, объектов незавершенного строительства, созданных до дня вступления в силу такого положения, а также в отношении земельных участков, права на которые возникли до дня вступления в силу положения о ЗОУИТ. Условие - это не должно создавать угрозу жизни граждан, обороне страны и безопасности государства.</w:t>
            </w:r>
          </w:p>
        </w:tc>
      </w:tr>
      <w:tr>
        <w:tc>
          <w:tcPr>
            <w:gridSpan w:val="5"/>
            <w:tcW w:w="10185" w:type="dxa"/>
            <w:tcBorders>
              <w:left w:val="nil"/>
              <w:right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sz w:val="24"/>
              </w:rPr>
              <w:t xml:space="preserve">Государственная кадастровая оценка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76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9421" w:type="dxa"/>
            <w:tcBorders>
              <w:bottom w:val="nil"/>
            </w:tcBorders>
          </w:tcPr>
          <w:p>
            <w:pPr>
              <w:pStyle w:val="0"/>
              <w:outlineLvl w:val="1"/>
            </w:pPr>
            <w:r>
              <w:rPr>
                <w:sz w:val="24"/>
              </w:rPr>
              <w:t xml:space="preserve">Федеральный </w:t>
            </w:r>
            <w:hyperlink w:history="0" r:id="rId16" w:tooltip="Федеральный закон от 28.12.2025 N 513-ФЗ &quot;О внесении изменений в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28.12.2025 N 513-ФЗ "О внесении изменений в отдельные законодательные акты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18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01.01.2026)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Подача заявлений, обращений, деклараций, замечаний к проекту отчета об итогах государственной кадастровой оценки осуществляется в бумажном виде, а также электронном виде посредством подачи документов в бюджетное учреждение, через МФЦ, по электронной почте и т.д.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Организована возможность подачи заявлений, обращений, деклараций, замечаний к проекту отчета об итогах государственной кадастровой оценки, а также обмена сведениями и документами между органом регистрации прав, ППК "Роскадастр" и бюджетным учреждением, уполномоченным на определение кадастровой стоимости, с использованием ФГИС ЕЦП НСПД.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Мониторинг проведения государственной кадастровой оценки осуществляется посредством анализа сведений и материалов о деятельности либо действиях бюджетного учреждения, исполнительного органа субъекта РФ.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Мониторинг проведения государственной кадастровой оценки осуществляется также посредством анализа сведений и материалов о деятельности либо действиях бюджетного учреждения, исполнительного органа субъекта РФ, а также ППК "Роскадастр".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Порядок опубликовании акта об утверждении результатов кадастровой оценки законом не установлен.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Уполномоченный орган субъекта РФ после принятия акта об утверждении результатов определения кадастровой стоимости обеспечивает его официальное опубликование, но не позднее 30 ноября года проведения государственной кадастровой оценки.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Правообладатели, не являющиеся собственниками объектов недвижимости, могут вносить изменения в сведения о кадастровой стоимости не принадлежащих им объектов недвижимости, не ставя в известность собственников таких объектов.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 случае подачи заявления об установлении рыночной стоимости правообладателем, не являющимся собственником объекта недвижимости, к заявлению прилагается согласие собственника объекта недвижимости.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Регламент рассмотрения заявления об установлении рыночной стоимости в качестве кадастровой стоимости объекта недвижимости федеральным законом не установлен (в некоторых субъектах такие регламенты утверждены на уровне бюджетного учреждения).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Рассмотрение заявления об установлении рыночной стоимости с приложенным к нему отчетом об оценке рыночной стоимости объекта недвижимости осуществляется в соответствии с регламентом, утвержденным уполномоченным органом субъекта РФ.</w:t>
            </w:r>
          </w:p>
        </w:tc>
      </w:tr>
      <w:tr>
        <w:tc>
          <w:tcPr>
            <w:gridSpan w:val="5"/>
            <w:tcW w:w="10185" w:type="dxa"/>
            <w:tcBorders>
              <w:left w:val="nil"/>
              <w:right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sz w:val="24"/>
              </w:rPr>
              <w:t xml:space="preserve">Государственная кадастровая оценка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76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9421" w:type="dxa"/>
            <w:tcBorders>
              <w:bottom w:val="nil"/>
            </w:tcBorders>
          </w:tcPr>
          <w:p>
            <w:pPr>
              <w:pStyle w:val="0"/>
              <w:outlineLvl w:val="1"/>
            </w:pPr>
            <w:hyperlink w:history="0" r:id="rId17" w:tooltip="Приказ Росреестра от 31.10.2025 N П/0398/25 &quot;Об утверждении методических рекомендаций по применению основных принципов определения арендной платы при аренде земельных участков, находящихся в государственной или муниципальной собственности, утвержденных постановлением Правительства Российской Федерации от 16 июля 2009 г. N 582&quot; {КонсультантПлюс}">
              <w:r>
                <w:rPr>
                  <w:sz w:val="24"/>
                  <w:color w:val="0000ff"/>
                </w:rPr>
                <w:t xml:space="preserve">Приказ</w:t>
              </w:r>
            </w:hyperlink>
            <w:r>
              <w:rPr>
                <w:sz w:val="24"/>
              </w:rPr>
              <w:t xml:space="preserve"> Росреестра от 31.10.2025 N П/0398/25 "Об утверждении Методических рекомендаций по применению основных принципов определения арендной платы при аренде земельных участков, находящихся в государственной или муниципальной собственности, утвержденных постановлением Правительства Российской Федерации от 16 июля 2009 г. N 582"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18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.2025)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185" w:type="dxa"/>
            <w:tcBorders>
              <w:left w:val="nil"/>
              <w:bottom w:val="nil"/>
              <w:right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9921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Текст документа приведен в соответствии с официальным источником.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gridSpan w:val="3"/>
            <w:tcW w:w="2098" w:type="dxa"/>
            <w:tcBorders>
              <w:top w:val="nil"/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01.0.2026 применяются Методические </w:t>
            </w:r>
            <w:hyperlink w:history="0" r:id="rId18" w:tooltip="Приказ Минэкономразвития России от 29.12.2017 N 710 &quot;Об утверждении Методических рекомендаций по применению основных принципов определения арендной платы при аренде земельных участков, находящихся в государственной или муниципальной собственности, утвержденных постановлением Правительства Российской Федерации от 16 июля 2009 г. N 582&quot;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рекомендации</w:t>
              </w:r>
            </w:hyperlink>
            <w:r>
              <w:rPr>
                <w:sz w:val="24"/>
              </w:rPr>
              <w:t xml:space="preserve"> по применению основных принципов определения арендной платы при аренде земельных участков, находящихся в государственной или муниципальной собственности, утвержденных постановлением Правительства РФ от 16.07.2009 N 582. Данные Методические </w:t>
            </w:r>
            <w:hyperlink w:history="0" r:id="rId19" w:tooltip="Приказ Минэкономразвития России от 29.12.2017 N 710 &quot;Об утверждении Методических рекомендаций по применению основных принципов определения арендной платы при аренде земельных участков, находящихся в государственной или муниципальной собственности, утвержденных постановлением Правительства Российской Федерации от 16 июля 2009 г. N 582&quot;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рекомендации</w:t>
              </w:r>
            </w:hyperlink>
            <w:r>
              <w:rPr>
                <w:sz w:val="24"/>
              </w:rPr>
              <w:t xml:space="preserve"> утверждены приказом Минэкономразвития России от 29.12.2017 N 710.</w:t>
            </w:r>
          </w:p>
        </w:tc>
        <w:tc>
          <w:tcPr>
            <w:tcW w:w="4535" w:type="dxa"/>
            <w:tcBorders>
              <w:top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Методические </w:t>
            </w:r>
            <w:hyperlink w:history="0" r:id="rId20" w:tooltip="Приказ Минэкономразвития России от 29.12.2017 N 710 &quot;Об утверждении Методических рекомендаций по применению основных принципов определения арендной платы при аренде земельных участков, находящихся в государственной или муниципальной собственности, утвержденных постановлением Правительства Российской Федерации от 16 июля 2009 г. N 582&quot; ------------ Утратил силу или отменен {КонсультантПлюс}">
              <w:r>
                <w:rPr>
                  <w:sz w:val="24"/>
                  <w:color w:val="0000ff"/>
                </w:rPr>
                <w:t xml:space="preserve">рекомендации</w:t>
              </w:r>
            </w:hyperlink>
            <w:r>
              <w:rPr>
                <w:sz w:val="24"/>
              </w:rPr>
              <w:t xml:space="preserve"> по применению основных принципов определения арендной платы при аренде земельных участков, находящихся в государственной или муниципальной собственности, утвержденных постановлением Правительства Российской Федерации от 16 июля 2009 г. N 582, утверждены приказом Росреестра.</w:t>
            </w:r>
          </w:p>
        </w:tc>
      </w:tr>
      <w:tr>
        <w:tc>
          <w:tcPr>
            <w:gridSpan w:val="5"/>
            <w:tcW w:w="10185" w:type="dxa"/>
            <w:tcBorders>
              <w:left w:val="nil"/>
              <w:right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sz w:val="24"/>
              </w:rPr>
              <w:t xml:space="preserve">Размещение объектов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76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9421" w:type="dxa"/>
            <w:tcBorders>
              <w:bottom w:val="nil"/>
            </w:tcBorders>
          </w:tcPr>
          <w:p>
            <w:pPr>
              <w:pStyle w:val="0"/>
              <w:outlineLvl w:val="1"/>
            </w:pPr>
            <w:hyperlink w:history="0" r:id="rId21" w:tooltip="Постановление Правительства РФ от 02.10.2025 N 1521 &quot;О внесении изменений в постановление Правительства Российской Федерации от 3 декабря 2014 г. N 1300&quot; {КонсультантПлюс}">
              <w:r>
                <w:rPr>
                  <w:sz w:val="24"/>
                  <w:color w:val="0000ff"/>
                </w:rPr>
                <w:t xml:space="preserve">Постановление</w:t>
              </w:r>
            </w:hyperlink>
            <w:r>
              <w:rPr>
                <w:sz w:val="24"/>
              </w:rPr>
              <w:t xml:space="preserve"> Правительства Российской Федерации от 02.10.2025 N 1521 "О внесении изменений в постановление Правительства Российской Федерации от 3 декабря 2014 г. N 1300"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18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(вступило в силу 10.10.2025)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 предусмотрено размещение нестационарных объектов для оказания услуг общественного питания (сезонные (летние) кафе предприятий общественного питания).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Понятие "сезонность" в отношении нестационарных объектов для оказания услуг общественного питания исключено. Введена возможность их использования круглогодично.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Размещение конструкций для проведения культурных мероприятий, а также площадок для хранения снега без предоставления земельных участков и установления сервитутов не предусмотрено.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Перечень возможных для размещения без предоставления земельных участков и установления сервитутов объектов дополнен новыми пунктами:</w:t>
            </w:r>
          </w:p>
          <w:p>
            <w:pPr>
              <w:pStyle w:val="0"/>
            </w:pPr>
            <w:r>
              <w:rPr>
                <w:sz w:val="24"/>
              </w:rPr>
              <w:t xml:space="preserve">- временные сооружения и (или) временные конструкции, предназначенные для организации и проведения культурных мероприятий, для размещения которых не требуется разрешения на строительство;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площадка, оборудованная для хранения снежных масс в зимний период.</w:t>
            </w:r>
          </w:p>
        </w:tc>
      </w:tr>
      <w:tr>
        <w:tc>
          <w:tcPr>
            <w:gridSpan w:val="5"/>
            <w:tcW w:w="10185" w:type="dxa"/>
            <w:tcBorders>
              <w:left w:val="nil"/>
              <w:right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sz w:val="24"/>
              </w:rPr>
              <w:t xml:space="preserve">Федеральный государственный контроль (надзор) в области геодезии и картографии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76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9421" w:type="dxa"/>
            <w:tcBorders>
              <w:bottom w:val="nil"/>
            </w:tcBorders>
          </w:tcPr>
          <w:p>
            <w:pPr>
              <w:pStyle w:val="0"/>
              <w:outlineLvl w:val="1"/>
            </w:pPr>
            <w:hyperlink w:history="0" r:id="rId22" w:tooltip="Постановление Правительства РФ от 23.10.2025 N 1644 &quot;О внесении изменений в постановление Правительства Российской Федерации от 25 июня 2021 г. N 1001&quot; {КонсультантПлюс}">
              <w:r>
                <w:rPr>
                  <w:sz w:val="24"/>
                  <w:color w:val="0000ff"/>
                </w:rPr>
                <w:t xml:space="preserve">Постановление</w:t>
              </w:r>
            </w:hyperlink>
            <w:r>
              <w:rPr>
                <w:sz w:val="24"/>
              </w:rPr>
              <w:t xml:space="preserve"> Правительства Российской Федерации от 23.10.2025 N 1644 "О внесении изменений в постановление Правительства Российской Федерации от 25 июня 2021 г. N 1001"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18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(вступило в силу 01.11.2025)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При проведении контрольных (надзорных) и профилактических мероприятий в рамках федерального государственного контроля (надзора) в области геодезии и картографии используются средства дистанционного взаимодействия.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Закреплена возможность использования мобильного приложения "Инспектор" при проведении контрольных (надзорных) и профилактических мероприятий, в том числе инспекционного визита и профилактического визита.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24"/>
              </w:rPr>
              <w:drawing>
                <wp:inline distT="0" distB="0" distL="0" distR="0">
                  <wp:extent cx="541020" cy="4610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Срок рассмотрения жалобы на действия (бездействие) должностных лиц Росреестра и его территориальных органов - 20 рабочих дней.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рассмотрения жалобы сокращен до 15 рабочих дней.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24"/>
              </w:rPr>
              <w:drawing>
                <wp:inline distT="0" distB="0" distL="0" distR="0">
                  <wp:extent cx="541020" cy="46101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В рамках федерального государственного контроля (надзора) в области геодезии и картографии может проводиться выездная проверка.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Выездная проверка исключена из перечня контрольных (надзорных) мероприятий, выполняемых при осуществлении федерального государственного контроля (надзора) в области геодезии и картографии.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В отношении контролируемых лиц, приступающих к выполнению лицензируемых видов геодезических и картографических работ, проводится обязательный профилактический визит.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Определена периодичность обязательных профилактических визитов в отношении объектов контроля в зависимости от отнесения их к категориям риска. Установлена возможность проведения профилактических визитов по инициативе контролируемых лиц.</w:t>
            </w:r>
          </w:p>
        </w:tc>
      </w:tr>
      <w:tr>
        <w:tc>
          <w:tcPr>
            <w:gridSpan w:val="5"/>
            <w:tcW w:w="10185" w:type="dxa"/>
            <w:tcBorders>
              <w:left w:val="nil"/>
              <w:right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sz w:val="24"/>
              </w:rPr>
              <w:t xml:space="preserve">Национальная система пространственных данных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76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9421" w:type="dxa"/>
            <w:tcBorders>
              <w:bottom w:val="nil"/>
            </w:tcBorders>
          </w:tcPr>
          <w:p>
            <w:pPr>
              <w:pStyle w:val="0"/>
              <w:outlineLvl w:val="1"/>
            </w:pPr>
            <w:hyperlink w:history="0" r:id="rId24" w:tooltip="Постановление Правительства РФ от 01.11.2025 N 1716 &quot;О внесении изменений в постановление Правительства Российской Федерации от 7 июня 2022 г. N 1040&quot; {КонсультантПлюс}">
              <w:r>
                <w:rPr>
                  <w:sz w:val="24"/>
                  <w:color w:val="0000ff"/>
                </w:rPr>
                <w:t xml:space="preserve">Постановление</w:t>
              </w:r>
            </w:hyperlink>
            <w:r>
              <w:rPr>
                <w:sz w:val="24"/>
              </w:rPr>
              <w:t xml:space="preserve"> Правительства Российской Федерации от 01.11.2025 N 1716 "О внесении изменений в постановление Правительства Российской Федерации от 7 июня 2022 г. N 1040"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1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(вступило в силу 10.11.2025)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2098" w:type="dxa"/>
            <w:vAlign w:val="center"/>
            <w:tcBorders>
              <w:top w:val="nil"/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Информация, которая вносится во ФГИС "ЕЦП НСПД", представляется поставщиком информации в рамках информационного взаимодействия ФГИС "ЕЦП НСПД" с информационными системами, находящимися в ведении поставщиков информации.</w:t>
            </w:r>
          </w:p>
          <w:p>
            <w:pPr>
              <w:pStyle w:val="0"/>
            </w:pPr>
            <w:r>
              <w:rPr>
                <w:sz w:val="24"/>
              </w:rPr>
              <w:t xml:space="preserve">Размещение иных пространственных данных и сведений не предусмотрено.</w:t>
            </w:r>
          </w:p>
        </w:tc>
        <w:tc>
          <w:tcPr>
            <w:tcW w:w="4535" w:type="dxa"/>
            <w:tcBorders>
              <w:top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государственной власти РФ и субъектов РФ, органы местного самоуправления, которые относятся к поставщикам информации, могут размещать во ФГИС "ЕЦП НСПД" тематические наборы данных, содержащие пространственные данные, в целях их доведения до любых заинтересованных лиц (при необходимости) без необходимости создания соответствующих государственных или муниципальных систем.</w:t>
            </w:r>
          </w:p>
        </w:tc>
      </w:tr>
      <w:tr>
        <w:tc>
          <w:tcPr>
            <w:gridSpan w:val="5"/>
            <w:tcW w:w="10185" w:type="dxa"/>
            <w:tcBorders>
              <w:left w:val="nil"/>
              <w:right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sz w:val="24"/>
              </w:rPr>
              <w:t xml:space="preserve">Порядок определения размера арендной платы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76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9421" w:type="dxa"/>
            <w:tcBorders>
              <w:bottom w:val="nil"/>
            </w:tcBorders>
          </w:tcPr>
          <w:p>
            <w:pPr>
              <w:pStyle w:val="0"/>
              <w:outlineLvl w:val="1"/>
            </w:pPr>
            <w:hyperlink w:history="0" r:id="rId25" w:tooltip="Постановление Правительства РФ от 01.12.2025 N 1974 &quot;О внесении изменений в некоторые акты Правительства Российской Федерации&quot; {КонсультантПлюс}">
              <w:r>
                <w:rPr>
                  <w:sz w:val="24"/>
                  <w:color w:val="0000ff"/>
                </w:rPr>
                <w:t xml:space="preserve">Постановление</w:t>
              </w:r>
            </w:hyperlink>
            <w:r>
              <w:rPr>
                <w:sz w:val="24"/>
              </w:rPr>
              <w:t xml:space="preserve"> Правительства Российской Федерации от 01.12.2025 N 1974 "О внесении изменений в некоторые акты Правительства Российской Федерации"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1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(вступило в силу 10.11.2025)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2098" w:type="dxa"/>
            <w:tcBorders>
              <w:top w:val="nil"/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некоторых видов земельных участков арендная плата определяется исходя из их площади, умноженной на стоимость 1 квадратного метра (ставка руб./кв. м или руб./га).</w:t>
            </w:r>
          </w:p>
        </w:tc>
        <w:tc>
          <w:tcPr>
            <w:tcW w:w="4535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 1 января 2026 г. при заключении договоров аренды в отношении федеральных земельных участков, для которых арендная плата исчислялась на основании ставок руб./кв. м или руб./га, арендная плата определяется исходя из кадастровой стоимости этих земельных участков в установленных размерах.</w:t>
            </w:r>
          </w:p>
        </w:tc>
      </w:tr>
      <w:tr>
        <w:tc>
          <w:tcPr>
            <w:gridSpan w:val="3"/>
            <w:tcBorders>
              <w:top w:val="nil"/>
              <w:left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W w:w="4535" w:type="dxa"/>
            <w:tcBorders>
              <w:top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Если договор уже заключен, то до момента прекращения действия такого договора порядок определения арендной платы по нему сохраняется, и перерасчет исходя из кадастровой стоимости не требуется.</w:t>
            </w:r>
          </w:p>
        </w:tc>
      </w:tr>
      <w:tr>
        <w:tc>
          <w:tcPr>
            <w:gridSpan w:val="5"/>
            <w:tcW w:w="10185" w:type="dxa"/>
            <w:tcBorders>
              <w:left w:val="nil"/>
              <w:right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sz w:val="24"/>
              </w:rPr>
              <w:t xml:space="preserve">Лицензирование геодезической и картографической деятельности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76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9421" w:type="dxa"/>
            <w:tcBorders>
              <w:bottom w:val="nil"/>
            </w:tcBorders>
          </w:tcPr>
          <w:p>
            <w:pPr>
              <w:pStyle w:val="0"/>
              <w:outlineLvl w:val="1"/>
            </w:pPr>
            <w:hyperlink w:history="0" r:id="rId26" w:tooltip="Постановление Правительства РФ от 28.11.2025 N 1940 &quot;О внесении изменений в постановление Правительства Российской Федерации от 28 июля 2020 г. N 1126&quot; {КонсультантПлюс}">
              <w:r>
                <w:rPr>
                  <w:sz w:val="24"/>
                  <w:color w:val="0000ff"/>
                </w:rPr>
                <w:t xml:space="preserve">Постановление</w:t>
              </w:r>
            </w:hyperlink>
            <w:r>
              <w:rPr>
                <w:sz w:val="24"/>
              </w:rPr>
              <w:t xml:space="preserve"> Правительства Российской Федерации от 28.11.2025 N 1940 "О внесении изменений в постановление Правительства Российской Федерации от 28 июля 2020 г. N 1126"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18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(вступило в силу 07.12.2025)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Решение о предоставлении (об отказе в предоставлении) лицензии на осуществление геодезической и картографической деятельности принимается в течение 10 рабочих дней.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предоставления лицензии на осуществление геодезической и картографической деятельности сокращен до 5 рабочих дней.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Выездная оценка соответствия соискателя лицензии (лицензиата) лицензионным требованиям проводится с использованием средств дистанционного взаимодействия.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Закреплена возможность использования мобильного приложения "Инспектор" при проведении выездной оценки.</w:t>
            </w:r>
          </w:p>
        </w:tc>
      </w:tr>
      <w:tr>
        <w:tc>
          <w:tcPr>
            <w:gridSpan w:val="5"/>
            <w:tcW w:w="10185" w:type="dxa"/>
            <w:tcBorders>
              <w:left w:val="nil"/>
              <w:right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sz w:val="24"/>
              </w:rPr>
              <w:t xml:space="preserve">Вовлечение земельных участков и объектов недвижимости в экономический оборот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76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9421" w:type="dxa"/>
            <w:tcBorders>
              <w:bottom w:val="nil"/>
            </w:tcBorders>
          </w:tcPr>
          <w:p>
            <w:pPr>
              <w:pStyle w:val="0"/>
              <w:outlineLvl w:val="1"/>
            </w:pPr>
            <w:hyperlink w:history="0" r:id="rId27" w:tooltip="Постановление Правительства РФ от 25.12.2025 N 2145 &quot;Об утверждении формы типового соглашения о выполнении работ и (или) об оказании услуг, заключаемого органами государственной власти субъектов Российской Федерации или органами местного самоуправления с публично-правовой компанией &quot;Роскадастр&quot; {КонсультантПлюс}">
              <w:r>
                <w:rPr>
                  <w:sz w:val="24"/>
                  <w:color w:val="0000ff"/>
                </w:rPr>
                <w:t xml:space="preserve">Постановление</w:t>
              </w:r>
            </w:hyperlink>
            <w:r>
              <w:rPr>
                <w:sz w:val="24"/>
              </w:rPr>
              <w:t xml:space="preserve"> Правительства Российской Федерации от 25.12.2025 N 2145 "Об утверждении формы типового соглашения о выполнении работ и (или) об оказании услуг, заключаемого органами государственной власти субъектов Российской Федерации или органами местного самоуправления с публично-правовой компанией "Роскадастр"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18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(вступило в силу 03.01.2026)</w:t>
            </w:r>
          </w:p>
        </w:tc>
      </w:tr>
      <w:tr>
        <w:tc>
          <w:tcPr>
            <w:gridSpan w:val="3"/>
            <w:tcW w:w="2098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Типовая форма соглашения с органом местного самоуправления, органом власти субъекта Российской Федерации о выполнении работ и об оказании услуг ППК "Роскадастр" не установлена.</w:t>
            </w:r>
          </w:p>
        </w:tc>
        <w:tc>
          <w:tcPr>
            <w:tcW w:w="4535" w:type="dxa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Установлена типовая форма соглашения о выполнении работ и (или) об оказании услуг, заключаемого органами государственной власти субъектов РФ или органами местного самоуправления с ППК "Роскадастр".</w:t>
            </w:r>
          </w:p>
        </w:tc>
      </w:tr>
      <w:tr>
        <w:tc>
          <w:tcPr>
            <w:gridSpan w:val="3"/>
            <w:tcBorders>
              <w:left w:val="nil"/>
            </w:tcBorders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535" w:type="dxa"/>
            <w:tcBorders>
              <w:top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Описаны основные права, обязанности и ответственность сторон, порядок и условия финансирования осуществляемой в соответствии с Соглашением деятельности.</w:t>
            </w:r>
          </w:p>
        </w:tc>
      </w:tr>
      <w:tr>
        <w:tc>
          <w:tcPr>
            <w:gridSpan w:val="5"/>
            <w:tcW w:w="10185" w:type="dxa"/>
            <w:tcBorders>
              <w:left w:val="nil"/>
              <w:right w:val="nil"/>
            </w:tcBorders>
          </w:tcPr>
          <w:p>
            <w:pPr>
              <w:pStyle w:val="0"/>
              <w:outlineLvl w:val="0"/>
              <w:jc w:val="center"/>
            </w:pPr>
            <w:r>
              <w:rPr>
                <w:sz w:val="24"/>
              </w:rPr>
              <w:t xml:space="preserve">Геодезические сети</w:t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W w:w="76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9421" w:type="dxa"/>
            <w:tcBorders>
              <w:bottom w:val="nil"/>
            </w:tcBorders>
          </w:tcPr>
          <w:p>
            <w:pPr>
              <w:pStyle w:val="0"/>
              <w:outlineLvl w:val="1"/>
            </w:pPr>
            <w:hyperlink w:history="0" r:id="rId28" w:tooltip="Приказ Росреестра от 30.10.2025 N П/0395/25 &quot;О внесении изменения в пункт 2 приказа Федеральной службы государственной регистрации, кадастра и картографии от 20 октября 2020 г. N П/0386&quot; (Зарегистрировано в Минюсте России 04.12.2025 N 84450) {КонсультантПлюс}">
              <w:r>
                <w:rPr>
                  <w:sz w:val="24"/>
                  <w:color w:val="0000ff"/>
                </w:rPr>
                <w:t xml:space="preserve">Приказ</w:t>
              </w:r>
            </w:hyperlink>
            <w:r>
              <w:rPr>
                <w:sz w:val="24"/>
              </w:rPr>
              <w:t xml:space="preserve"> Росреестра от 30.10.2025 N П/0395/25 "О внесении изменений в пункт 2 приказа Росреестра от 20.10.2020 N П/0386 "Об установлении требований к содержанию технического проекта геодезической сети специального назначения, порядка утверждения технического проекта геодезической сети специального назначения, включая основания для отказа в его утверждении, требований к форме и составу отчета о создании геодезической сети специального назначения и каталога координат пунктов геодезической сети специального назначения, порядка передачи отчета о создании геодезической сети специального назначения и каталога координат пунктов указанной сети в федеральный фонд пространственных данных"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018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(вступил в силу 16.12.2025)</w:t>
            </w:r>
          </w:p>
        </w:tc>
      </w:tr>
      <w:tr>
        <w:tc>
          <w:tcPr>
            <w:gridSpan w:val="3"/>
            <w:tcW w:w="2098" w:type="dxa"/>
            <w:tcBorders>
              <w:left w:val="nil"/>
            </w:tcBorders>
          </w:tcPr>
          <w:p>
            <w:pPr>
              <w:pStyle w:val="0"/>
              <w:jc w:val="center"/>
            </w:pPr>
            <w:r>
              <w:rPr>
                <w:position w:val="-30"/>
              </w:rPr>
              <w:drawing>
                <wp:inline distT="0" distB="0" distL="0" distR="0">
                  <wp:extent cx="1253490" cy="54229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54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2" w:type="dxa"/>
          </w:tcPr>
          <w:p>
            <w:pPr>
              <w:pStyle w:val="0"/>
            </w:pPr>
            <w:r>
              <w:rPr>
                <w:sz w:val="24"/>
              </w:rPr>
              <w:t xml:space="preserve">Срок действия </w:t>
            </w:r>
            <w:hyperlink w:history="0" r:id="rId29" w:tooltip="Приказ Росреестра от 20.10.2020 N П/0386 (ред. от 30.10.2025) &quot;Об установлении требований к содержанию технического проекта геодезической сети специального назначения, порядка утверждения технического проекта геодезической сети специального назначения, включая основания для отказа в его утверждении, требований к форме и составу отчета о создании геодезической сети специального назначения и каталога координат пунктов геодезической сети специального назначения, порядка передачи отчета о создании геодезической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</w:rPr>
              <w:t xml:space="preserve"> Росреестра от 20.10.2020 N П/0386 ограничен 01.09.2026</w:t>
            </w:r>
          </w:p>
        </w:tc>
        <w:tc>
          <w:tcPr>
            <w:tcW w:w="4535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действия </w:t>
            </w:r>
            <w:hyperlink w:history="0" r:id="rId30" w:tooltip="Приказ Росреестра от 20.10.2020 N П/0386 (ред. от 30.10.2025) &quot;Об установлении требований к содержанию технического проекта геодезической сети специального назначения, порядка утверждения технического проекта геодезической сети специального назначения, включая основания для отказа в его утверждении, требований к форме и составу отчета о создании геодезической сети специального назначения и каталога координат пунктов геодезической сети специального назначения, порядка передачи отчета о создании геодезической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</w:rPr>
              <w:t xml:space="preserve"> Росреестра от 20.10.2020 N П/0386 - 01.09.2032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50"/>
        <w:gridCol w:w="2098"/>
        <w:gridCol w:w="964"/>
        <w:gridCol w:w="2211"/>
        <w:gridCol w:w="907"/>
        <w:gridCol w:w="3175"/>
      </w:tblGrid>
      <w:tr>
        <w:tc>
          <w:tcPr>
            <w:tcW w:w="850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22"/>
              </w:rPr>
              <w:drawing>
                <wp:inline distT="0" distB="0" distL="0" distR="0">
                  <wp:extent cx="461010" cy="43434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физические лица</w:t>
            </w:r>
          </w:p>
        </w:tc>
        <w:tc>
          <w:tcPr>
            <w:tcW w:w="964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23"/>
              </w:rPr>
              <w:drawing>
                <wp:inline distT="0" distB="0" distL="0" distR="0">
                  <wp:extent cx="533400" cy="4540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1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сообщество</w:t>
            </w:r>
          </w:p>
        </w:tc>
        <w:tc>
          <w:tcPr>
            <w:tcW w:w="907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26"/>
              </w:rPr>
              <w:drawing>
                <wp:inline distT="0" distB="0" distL="0" distR="0">
                  <wp:extent cx="490220" cy="4832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220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5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органы власти</w:t>
            </w:r>
          </w:p>
        </w:tc>
      </w:tr>
      <w:tr>
        <w:tc>
          <w:tcPr>
            <w:gridSpan w:val="6"/>
            <w:tcW w:w="102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position w:val="-203"/>
              </w:rPr>
              <w:drawing>
                <wp:inline distT="0" distB="0" distL="0" distR="0">
                  <wp:extent cx="2165350" cy="274066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350" cy="274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Росреестра</w:t>
            <w:br/>
            <w:t>"Дайджест законодательных изменений в сфере земли и недвижимости. IV квартал 2025"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hyperlink" Target="https://login.consultant.ru/link/?req=doc&amp;base=LAW&amp;n=521538&amp;date=04.02.2026&amp;demo=2" TargetMode = "External"/><Relationship Id="rId10" Type="http://schemas.openxmlformats.org/officeDocument/2006/relationships/image" Target="media/image3.png"/><Relationship Id="rId11" Type="http://schemas.openxmlformats.org/officeDocument/2006/relationships/hyperlink" Target="https://login.consultant.ru/link/?req=doc&amp;base=LAW&amp;n=523272&amp;date=04.02.2026&amp;demo=2" TargetMode = "External"/><Relationship Id="rId12" Type="http://schemas.openxmlformats.org/officeDocument/2006/relationships/hyperlink" Target="https://login.consultant.ru/link/?req=doc&amp;base=LAW&amp;n=523006&amp;date=04.02.2026&amp;demo=2" TargetMode = "External"/><Relationship Id="rId13" Type="http://schemas.openxmlformats.org/officeDocument/2006/relationships/hyperlink" Target="https://login.consultant.ru/link/?req=doc&amp;base=LAW&amp;n=492079&amp;date=04.02.2026&amp;demo=2" TargetMode = "External"/><Relationship Id="rId14" Type="http://schemas.openxmlformats.org/officeDocument/2006/relationships/hyperlink" Target="https://login.consultant.ru/link/?req=doc&amp;base=LAW&amp;n=523008&amp;date=04.02.2026&amp;demo=2" TargetMode = "External"/><Relationship Id="rId15" Type="http://schemas.openxmlformats.org/officeDocument/2006/relationships/image" Target="media/image4.png"/><Relationship Id="rId16" Type="http://schemas.openxmlformats.org/officeDocument/2006/relationships/hyperlink" Target="https://login.consultant.ru/link/?req=doc&amp;base=LAW&amp;n=523042&amp;date=04.02.2026&amp;demo=2" TargetMode = "External"/><Relationship Id="rId17" Type="http://schemas.openxmlformats.org/officeDocument/2006/relationships/hyperlink" Target="https://login.consultant.ru/link/?req=doc&amp;base=LAW&amp;n=518911&amp;date=04.02.2026&amp;demo=2" TargetMode = "External"/><Relationship Id="rId18" Type="http://schemas.openxmlformats.org/officeDocument/2006/relationships/hyperlink" Target="https://login.consultant.ru/link/?req=doc&amp;base=LAW&amp;n=288079&amp;date=04.02.2026&amp;dst=100008&amp;field=134&amp;demo=2" TargetMode = "External"/><Relationship Id="rId19" Type="http://schemas.openxmlformats.org/officeDocument/2006/relationships/hyperlink" Target="https://login.consultant.ru/link/?req=doc&amp;base=LAW&amp;n=288079&amp;date=04.02.2026&amp;dst=100008&amp;field=134&amp;demo=2" TargetMode = "External"/><Relationship Id="rId20" Type="http://schemas.openxmlformats.org/officeDocument/2006/relationships/hyperlink" Target="https://login.consultant.ru/link/?req=doc&amp;base=LAW&amp;n=288079&amp;date=04.02.2026&amp;dst=100008&amp;field=134&amp;demo=2" TargetMode = "External"/><Relationship Id="rId21" Type="http://schemas.openxmlformats.org/officeDocument/2006/relationships/hyperlink" Target="https://login.consultant.ru/link/?req=doc&amp;base=LAW&amp;n=515815&amp;date=04.02.2026&amp;demo=2" TargetMode = "External"/><Relationship Id="rId22" Type="http://schemas.openxmlformats.org/officeDocument/2006/relationships/hyperlink" Target="https://login.consultant.ru/link/?req=doc&amp;base=LAW&amp;n=517312&amp;date=04.02.2026&amp;demo=2" TargetMode = "External"/><Relationship Id="rId23" Type="http://schemas.openxmlformats.org/officeDocument/2006/relationships/image" Target="media/image5.png"/><Relationship Id="rId24" Type="http://schemas.openxmlformats.org/officeDocument/2006/relationships/hyperlink" Target="https://login.consultant.ru/link/?req=doc&amp;base=LAW&amp;n=518002&amp;date=04.02.2026&amp;demo=2" TargetMode = "External"/><Relationship Id="rId25" Type="http://schemas.openxmlformats.org/officeDocument/2006/relationships/hyperlink" Target="https://login.consultant.ru/link/?req=doc&amp;base=LAW&amp;n=520465&amp;date=04.02.2026&amp;demo=2" TargetMode = "External"/><Relationship Id="rId26" Type="http://schemas.openxmlformats.org/officeDocument/2006/relationships/hyperlink" Target="https://login.consultant.ru/link/?req=doc&amp;base=LAW&amp;n=520197&amp;date=04.02.2026&amp;demo=2" TargetMode = "External"/><Relationship Id="rId27" Type="http://schemas.openxmlformats.org/officeDocument/2006/relationships/hyperlink" Target="https://login.consultant.ru/link/?req=doc&amp;base=LAW&amp;n=522936&amp;date=04.02.2026&amp;demo=2" TargetMode = "External"/><Relationship Id="rId28" Type="http://schemas.openxmlformats.org/officeDocument/2006/relationships/hyperlink" Target="https://login.consultant.ru/link/?req=doc&amp;base=LAW&amp;n=520769&amp;date=04.02.2026&amp;demo=2" TargetMode = "External"/><Relationship Id="rId29" Type="http://schemas.openxmlformats.org/officeDocument/2006/relationships/hyperlink" Target="https://login.consultant.ru/link/?req=doc&amp;base=LAW&amp;n=520813&amp;date=04.02.2026&amp;demo=2" TargetMode = "External"/><Relationship Id="rId30" Type="http://schemas.openxmlformats.org/officeDocument/2006/relationships/hyperlink" Target="https://login.consultant.ru/link/?req=doc&amp;base=LAW&amp;n=520813&amp;date=04.02.2026&amp;demo=2" TargetMode = "External"/><Relationship Id="rId31" Type="http://schemas.openxmlformats.org/officeDocument/2006/relationships/image" Target="media/image6.png"/><Relationship Id="rId32" Type="http://schemas.openxmlformats.org/officeDocument/2006/relationships/image" Target="media/image7.png"/><Relationship Id="rId33" Type="http://schemas.openxmlformats.org/officeDocument/2006/relationships/image" Target="media/image8.jpeg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Росреестра
"Дайджест законодательных изменений в сфере земли и недвижимости. IV квартал 2025"</dc:title>
  <dcterms:created xsi:type="dcterms:W3CDTF">2026-02-04T12:39:02Z</dcterms:created>
</cp:coreProperties>
</file>