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3 февраля 2026 г. N 5034-ДН/04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своей компетенции сообщает следующее.</w:t>
      </w:r>
    </w:p>
    <w:p>
      <w:pPr>
        <w:pStyle w:val="0"/>
        <w:spacing w:before="240" w:lineRule="auto"/>
        <w:ind w:firstLine="540"/>
        <w:jc w:val="both"/>
      </w:pPr>
      <w:r>
        <w:rPr>
          <w:sz w:val="24"/>
        </w:rPr>
        <w:t xml:space="preserve">В силу </w:t>
      </w:r>
      <w:hyperlink w:history="0" r:id="rId7" w:tooltip="&quot;Жилищный кодекс Российской Федерации&quot; от 29.12.2004 N 188-ФЗ (ред. от 29.12.2025) {КонсультантПлюс}">
        <w:r>
          <w:rPr>
            <w:sz w:val="24"/>
            <w:color w:val="0000ff"/>
          </w:rPr>
          <w:t xml:space="preserve">части 7 статьи 156</w:t>
        </w:r>
      </w:hyperlink>
      <w:r>
        <w:rPr>
          <w:sz w:val="24"/>
        </w:rPr>
        <w:t xml:space="preserve"> Жилищного кодекса Российской Федерации (далее - ЖК РФ) размер платы за содержание жилого помещения в многоквартирном доме (далее - МКД),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МКД (далее - ОСС), при этом размер платы за содержание жилого помещения в МКД определяется с учетом предложений управляющей организации и устанавливается на срок не менее чем один год.</w:t>
      </w:r>
    </w:p>
    <w:p>
      <w:pPr>
        <w:pStyle w:val="0"/>
        <w:spacing w:before="240" w:lineRule="auto"/>
        <w:ind w:firstLine="540"/>
        <w:jc w:val="both"/>
      </w:pPr>
      <w:hyperlink w:history="0" r:id="rId8"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31</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13.08.2006 N 491 (далее - Правила N 491), также установлено, что при определении размера платы за содержание жилого помещения в МКД, в котором не созданы товарищество собственников жилья либо жилищный кооператив или иной специализированный потребительский кооператив, решение ОСС принимается на срок не менее чем один год с учетом предложений управляющей организации.</w:t>
      </w:r>
    </w:p>
    <w:p>
      <w:pPr>
        <w:pStyle w:val="0"/>
        <w:spacing w:before="240" w:lineRule="auto"/>
        <w:ind w:firstLine="540"/>
        <w:jc w:val="both"/>
      </w:pPr>
      <w:r>
        <w:rPr>
          <w:sz w:val="24"/>
        </w:rPr>
        <w:t xml:space="preserve">Приведенные положения обеспечивают сохранение одинакового ежемесячного размера платы за содержание жилого помещения в течение года, несмотря на то, что фактические расходы на финансирование работ и (или) услуг в различные периоды года является разной. Например, в зимний период производится уборка и вывоз снега, в летний период производится текущий ремонт крыши, фасада, иных элементов общего имущества в МКД, осуществляется подготовка внутридомовой системы отопления МКД к отопительному периоду.</w:t>
      </w:r>
    </w:p>
    <w:p>
      <w:pPr>
        <w:pStyle w:val="0"/>
        <w:spacing w:before="240" w:lineRule="auto"/>
        <w:ind w:firstLine="540"/>
        <w:jc w:val="both"/>
      </w:pPr>
      <w:r>
        <w:rPr>
          <w:sz w:val="24"/>
        </w:rPr>
        <w:t xml:space="preserve">Таким образом, размер платы за содержание жилого помещения фактически должен рассчитываться на год, затем путем деления рассчитанного годового размера платы на 12 месяцев определяется ежемесячный размер платы за содержание жилого помещения.</w:t>
      </w:r>
    </w:p>
    <w:p>
      <w:pPr>
        <w:pStyle w:val="0"/>
        <w:spacing w:before="240" w:lineRule="auto"/>
        <w:ind w:firstLine="540"/>
        <w:jc w:val="both"/>
      </w:pPr>
      <w:r>
        <w:rPr>
          <w:sz w:val="24"/>
        </w:rPr>
        <w:t xml:space="preserve">По общему правилу размер платы за содержание жилого помещения должен действовать не менее одного года.</w:t>
      </w:r>
    </w:p>
    <w:p>
      <w:pPr>
        <w:pStyle w:val="0"/>
        <w:spacing w:before="240" w:lineRule="auto"/>
        <w:ind w:firstLine="540"/>
        <w:jc w:val="both"/>
      </w:pPr>
      <w:r>
        <w:rPr>
          <w:sz w:val="24"/>
        </w:rPr>
        <w:t xml:space="preserve">Вместе с тем необходимо отметить следующее.</w:t>
      </w:r>
    </w:p>
    <w:p>
      <w:pPr>
        <w:pStyle w:val="0"/>
        <w:spacing w:before="240" w:lineRule="auto"/>
        <w:ind w:firstLine="540"/>
        <w:jc w:val="both"/>
      </w:pPr>
      <w:r>
        <w:rPr>
          <w:sz w:val="24"/>
        </w:rPr>
        <w:t xml:space="preserve">В соответствии с </w:t>
      </w:r>
      <w:hyperlink w:history="0" r:id="rId9"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20</w:t>
        </w:r>
      </w:hyperlink>
      <w:r>
        <w:rPr>
          <w:sz w:val="24"/>
        </w:rPr>
        <w:t xml:space="preserve"> Правил N 491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pPr>
        <w:pStyle w:val="0"/>
        <w:spacing w:before="240" w:lineRule="auto"/>
        <w:ind w:firstLine="540"/>
        <w:jc w:val="both"/>
      </w:pPr>
      <w:r>
        <w:rPr>
          <w:sz w:val="24"/>
        </w:rPr>
        <w:t xml:space="preserve">Важно отметить, что обязанность собственников помещений в МКД принять меры по устранению выявленных дефектов не может быть исполнена без определения источника и размера финансирования таких мер.</w:t>
      </w:r>
    </w:p>
    <w:p>
      <w:pPr>
        <w:pStyle w:val="0"/>
        <w:spacing w:before="240" w:lineRule="auto"/>
        <w:ind w:firstLine="540"/>
        <w:jc w:val="both"/>
      </w:pPr>
      <w:r>
        <w:rPr>
          <w:sz w:val="24"/>
        </w:rPr>
        <w:t xml:space="preserve">При этом приведенное положение не устанавливает запрета на финансирование принятых мер за счет платежей собственников помещений в МКД сверх утвержденного размера платы за содержание жилого помещения, то есть фактически за счет увеличения размера платы за содержание жилого помещения.</w:t>
      </w:r>
    </w:p>
    <w:p>
      <w:pPr>
        <w:pStyle w:val="0"/>
        <w:spacing w:before="240" w:lineRule="auto"/>
        <w:ind w:firstLine="540"/>
        <w:jc w:val="both"/>
      </w:pPr>
      <w:r>
        <w:rPr>
          <w:sz w:val="24"/>
        </w:rPr>
        <w:t xml:space="preserve">Кроме того, приведенное положение устанавливает обязательность немедленного принятия мер, независимо от срока действия решения об утверждении размера платы за содержание жилого помещения, в том числе в случае если утвержденный размер платы за содержание жилого помещения действует менее одного года.</w:t>
      </w:r>
    </w:p>
    <w:p>
      <w:pPr>
        <w:pStyle w:val="0"/>
        <w:spacing w:before="240" w:lineRule="auto"/>
        <w:ind w:firstLine="540"/>
        <w:jc w:val="both"/>
      </w:pPr>
      <w:r>
        <w:rPr>
          <w:sz w:val="24"/>
        </w:rPr>
        <w:t xml:space="preserve">Таким образом, законом фактически предусмотрена возможность изменения размера платы за содержание жилого помещения ранее истечения одного года действия утвержденного размера платы за содержание жилого помещения в случае наступления обстоятельств, наступление которых не было учтено при определении размера платы за содержание жилого помещения, поскольку наступление указанных обстоятельств было затруднительно предвидеть на момент рассмотрения на ОСС вопроса об утверждении размера платы за содержание жилого помещения.</w:t>
      </w:r>
    </w:p>
    <w:p>
      <w:pPr>
        <w:pStyle w:val="0"/>
        <w:spacing w:before="240" w:lineRule="auto"/>
        <w:ind w:firstLine="540"/>
        <w:jc w:val="both"/>
      </w:pPr>
      <w:r>
        <w:rPr>
          <w:sz w:val="24"/>
        </w:rPr>
        <w:t xml:space="preserve">Минстрой России полагает, что обстоятельствами, наступление которых создает возможность изменения размера платы за содержание жилого помещения ранее истечения одного года с момента начала применения утвержденного размера платы за содержание жилого помещения, также могут являться изменения налогового и (или) трудового законодательства, влияющие на размер обязательств лица, осуществляющего управление МКД, по уплате налогов в бюджет и (или) заработных плат персоналу такого лица.</w:t>
      </w:r>
    </w:p>
    <w:p>
      <w:pPr>
        <w:pStyle w:val="0"/>
        <w:spacing w:before="240" w:lineRule="auto"/>
        <w:ind w:firstLine="540"/>
        <w:jc w:val="both"/>
      </w:pPr>
      <w:r>
        <w:rPr>
          <w:sz w:val="24"/>
        </w:rPr>
        <w:t xml:space="preserve">При этом отмечается, что в силу </w:t>
      </w:r>
      <w:hyperlink w:history="0" r:id="rId10" w:tooltip="&quot;Жилищный кодекс Российской Федерации&quot; от 29.12.2004 N 188-ФЗ (ред. от 29.12.2025) {КонсультантПлюс}">
        <w:r>
          <w:rPr>
            <w:sz w:val="24"/>
            <w:color w:val="0000ff"/>
          </w:rPr>
          <w:t xml:space="preserve">пункта 3 части 3 статьи 162</w:t>
        </w:r>
      </w:hyperlink>
      <w:r>
        <w:rPr>
          <w:sz w:val="24"/>
        </w:rPr>
        <w:t xml:space="preserve"> ЖК РФ в договоре управления МКД должен быть указан в том числе порядок определения цены договора, размера платы за содержание и ремонт жилого помещения.</w:t>
      </w:r>
    </w:p>
    <w:p>
      <w:pPr>
        <w:pStyle w:val="0"/>
        <w:spacing w:before="240" w:lineRule="auto"/>
        <w:ind w:firstLine="540"/>
        <w:jc w:val="both"/>
      </w:pPr>
      <w:r>
        <w:rPr>
          <w:sz w:val="24"/>
        </w:rPr>
        <w:t xml:space="preserve">В соответствии с </w:t>
      </w:r>
      <w:hyperlink w:history="0" r:id="rId11" w:tooltip="&quot;Жилищный кодекс Российской Федерации&quot; от 29.12.2004 N 188-ФЗ (ред. от 29.12.2025) {КонсультантПлюс}">
        <w:r>
          <w:rPr>
            <w:sz w:val="24"/>
            <w:color w:val="0000ff"/>
          </w:rPr>
          <w:t xml:space="preserve">частью 1 статьи 162</w:t>
        </w:r>
      </w:hyperlink>
      <w:r>
        <w:rPr>
          <w:sz w:val="24"/>
        </w:rPr>
        <w:t xml:space="preserve"> ЖК РФ при выборе управляющей организации ОСС собственники помещений в МКД,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управления МКД.</w:t>
      </w:r>
    </w:p>
    <w:p>
      <w:pPr>
        <w:pStyle w:val="0"/>
        <w:spacing w:before="240" w:lineRule="auto"/>
        <w:ind w:firstLine="540"/>
        <w:jc w:val="both"/>
      </w:pPr>
      <w:hyperlink w:history="0" r:id="rId12" w:tooltip="&quot;Жилищный кодекс Российской Федерации&quot; от 29.12.2004 N 188-ФЗ (ред. от 29.12.2025) {КонсультантПлюс}">
        <w:r>
          <w:rPr>
            <w:sz w:val="24"/>
            <w:color w:val="0000ff"/>
          </w:rPr>
          <w:t xml:space="preserve">Часть 2 статьи 162</w:t>
        </w:r>
      </w:hyperlink>
      <w:r>
        <w:rPr>
          <w:sz w:val="24"/>
        </w:rPr>
        <w:t xml:space="preserve"> ЖК РФ также предусматривает случай, в котором одной стороной договора управления является управляющая организация, второй стороной являются собственники помещений в МКД.</w:t>
      </w:r>
    </w:p>
    <w:p>
      <w:pPr>
        <w:pStyle w:val="0"/>
        <w:spacing w:before="240" w:lineRule="auto"/>
        <w:ind w:firstLine="540"/>
        <w:jc w:val="both"/>
      </w:pPr>
      <w:r>
        <w:rPr>
          <w:sz w:val="24"/>
        </w:rPr>
        <w:t xml:space="preserve">При этом от имени управляющей организации решение о заключении договора и об условиях такого договора может принимать уполномоченное на такое решение лицо, от имени собственников помещений в МКД решение принимает ОСС.</w:t>
      </w:r>
    </w:p>
    <w:p>
      <w:pPr>
        <w:pStyle w:val="0"/>
        <w:spacing w:before="240" w:lineRule="auto"/>
        <w:ind w:firstLine="540"/>
        <w:jc w:val="both"/>
      </w:pPr>
      <w:r>
        <w:rPr>
          <w:sz w:val="24"/>
        </w:rPr>
        <w:t xml:space="preserve">В силу </w:t>
      </w:r>
      <w:hyperlink w:history="0" r:id="rId13" w:tooltip="&quot;Жилищный кодекс Российской Федерации&quot; от 29.12.2004 N 188-ФЗ (ред. от 29.12.2025) {КонсультантПлюс}">
        <w:r>
          <w:rPr>
            <w:sz w:val="24"/>
            <w:color w:val="0000ff"/>
          </w:rPr>
          <w:t xml:space="preserve">части 8 статьи 162</w:t>
        </w:r>
      </w:hyperlink>
      <w:r>
        <w:rPr>
          <w:sz w:val="24"/>
        </w:rPr>
        <w:t xml:space="preserve"> ЖК РФ изменение и (или) расторжение договора управления МКД осуществляются в порядке, предусмотренном гражданским законодательством.</w:t>
      </w:r>
    </w:p>
    <w:p>
      <w:pPr>
        <w:pStyle w:val="0"/>
        <w:spacing w:before="240" w:lineRule="auto"/>
        <w:ind w:firstLine="540"/>
        <w:jc w:val="both"/>
      </w:pPr>
      <w:r>
        <w:rPr>
          <w:sz w:val="24"/>
        </w:rPr>
        <w:t xml:space="preserve">Согласно </w:t>
      </w:r>
      <w:hyperlink w:history="0" r:id="rId1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пункту 1 статьи 450</w:t>
        </w:r>
      </w:hyperlink>
      <w:r>
        <w:rPr>
          <w:sz w:val="24"/>
        </w:rPr>
        <w:t xml:space="preserve"> ГК РФ изменение и расторжение договора возможны по соглашению сторон, если иное не предусмотрено </w:t>
      </w:r>
      <w:hyperlink w:history="0" r:id="rId1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ГК</w:t>
        </w:r>
      </w:hyperlink>
      <w:r>
        <w:rPr>
          <w:sz w:val="24"/>
        </w:rPr>
        <w:t xml:space="preserve"> РФ, другими законами или договором.</w:t>
      </w:r>
    </w:p>
    <w:p>
      <w:pPr>
        <w:pStyle w:val="0"/>
        <w:spacing w:before="240" w:lineRule="auto"/>
        <w:ind w:firstLine="540"/>
        <w:jc w:val="both"/>
      </w:pPr>
      <w:r>
        <w:rPr>
          <w:sz w:val="24"/>
        </w:rPr>
        <w:t xml:space="preserve">Таким образом, изменение условий договора управления МКД, одним из которых является порядок определения размера платы за содержание жилого помещения, ранее чем через год после начала действия ранее утвержденного размера платы за содержание жилого помещения допустимо исключительно на основании решения ОСС в случае наступления обстоятельств, не учтенных при определении ранее утвержденного размера платы.</w:t>
      </w:r>
    </w:p>
    <w:p>
      <w:pPr>
        <w:pStyle w:val="0"/>
        <w:spacing w:before="240" w:lineRule="auto"/>
        <w:ind w:firstLine="540"/>
        <w:jc w:val="both"/>
      </w:pPr>
      <w:r>
        <w:rPr>
          <w:sz w:val="24"/>
        </w:rPr>
        <w:t xml:space="preserve">Дополнительно сообщаем, что в соответствии с </w:t>
      </w:r>
      <w:hyperlink w:history="0" r:id="rId16"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03.02.2026 N 5034-ДН/04</w:t>
            <w:br/>
            <w:t>&lt;Об изменении размера платы за содержание жилого помещения&gt;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03.02.2026 N 5034-ДН/04 &lt;Об изменении размера платы за содержание жилого помещения&gt;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3355&amp;date=04.02.2026&amp;dst=685&amp;field=134&amp;demo=2" TargetMode = "External"/><Relationship Id="rId8" Type="http://schemas.openxmlformats.org/officeDocument/2006/relationships/hyperlink" Target="https://login.consultant.ru/link/?req=doc&amp;base=LAW&amp;n=500914&amp;date=04.02.2026&amp;dst=24&amp;field=134&amp;demo=2" TargetMode = "External"/><Relationship Id="rId9" Type="http://schemas.openxmlformats.org/officeDocument/2006/relationships/hyperlink" Target="https://login.consultant.ru/link/?req=doc&amp;base=LAW&amp;n=500914&amp;date=04.02.2026&amp;dst=100077&amp;field=134&amp;demo=2" TargetMode = "External"/><Relationship Id="rId10" Type="http://schemas.openxmlformats.org/officeDocument/2006/relationships/hyperlink" Target="https://login.consultant.ru/link/?req=doc&amp;base=LAW&amp;n=523355&amp;date=04.02.2026&amp;dst=778&amp;field=134&amp;demo=2" TargetMode = "External"/><Relationship Id="rId11" Type="http://schemas.openxmlformats.org/officeDocument/2006/relationships/hyperlink" Target="https://login.consultant.ru/link/?req=doc&amp;base=LAW&amp;n=523355&amp;date=04.02.2026&amp;dst=887&amp;field=134&amp;demo=2" TargetMode = "External"/><Relationship Id="rId12" Type="http://schemas.openxmlformats.org/officeDocument/2006/relationships/hyperlink" Target="https://login.consultant.ru/link/?req=doc&amp;base=LAW&amp;n=523355&amp;date=04.02.2026&amp;dst=776&amp;field=134&amp;demo=2" TargetMode = "External"/><Relationship Id="rId13" Type="http://schemas.openxmlformats.org/officeDocument/2006/relationships/hyperlink" Target="https://login.consultant.ru/link/?req=doc&amp;base=LAW&amp;n=523355&amp;date=04.02.2026&amp;dst=100995&amp;field=134&amp;demo=2" TargetMode = "External"/><Relationship Id="rId14" Type="http://schemas.openxmlformats.org/officeDocument/2006/relationships/hyperlink" Target="https://login.consultant.ru/link/?req=doc&amp;base=LAW&amp;n=508490&amp;date=04.02.2026&amp;dst=102127&amp;field=134&amp;demo=2" TargetMode = "External"/><Relationship Id="rId15" Type="http://schemas.openxmlformats.org/officeDocument/2006/relationships/hyperlink" Target="https://login.consultant.ru/link/?req=doc&amp;base=LAW&amp;n=508490&amp;date=04.02.2026&amp;demo=2" TargetMode = "External"/><Relationship Id="rId16" Type="http://schemas.openxmlformats.org/officeDocument/2006/relationships/hyperlink" Target="https://login.consultant.ru/link/?req=doc&amp;base=LAW&amp;n=490536&amp;date=04.02.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03.02.2026 N 5034-ДН/04
&lt;Об изменении размера платы за содержание жилого помещения&gt;</dc:title>
  <dcterms:created xsi:type="dcterms:W3CDTF">2026-02-04T13:10:33Z</dcterms:created>
</cp:coreProperties>
</file>