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22 декабря 2025 г. N 1622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ФОНДА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ОТ 17 ФЕВРАЛЯ 2023 Г. N 210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рамках реализации Федерального </w:t>
      </w:r>
      <w:hyperlink w:history="0" r:id="rId7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27 июля 2010 г. N 210-ФЗ "Об организации предоставления государственных и муниципальных услуг" и в целях приведения наименований государственных услуг и подуслуг СФР в соответствие с законодательством Российской Федерации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8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государственных услуг, предоставляемых Фондом пенсионного и социального страхования Российской Федерации, утвержденный приказом Фонда пенсионного и социального страхования Российской Федерации от 17 февраля 2023 г. N 210,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8.4 пункта 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"8.4. Восстановление или возобновление выплаты пенсии";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0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8.5 пункта 8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1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15.9 пункта 15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12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16.4 пункта 16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</w:t>
      </w:r>
      <w:hyperlink w:history="0" r:id="rId13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16</w:t>
        </w:r>
      </w:hyperlink>
      <w:r>
        <w:rPr>
          <w:sz w:val="24"/>
        </w:rPr>
        <w:t xml:space="preserve"> дополнить подпунктом 16.11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"16.11. Представление законным представителем ребенка-инвалида в возрасте до 18 лет или инвалидом с детства I группы (его законным представителем) заявления об отказе от осуществления ухода другим неработающим трудоспособным лицом в связи с неисполнением им обязательства по обеспечению ухода";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</w:t>
      </w:r>
      <w:hyperlink w:history="0" r:id="rId14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20</w:t>
        </w:r>
      </w:hyperlink>
      <w:r>
        <w:rPr>
          <w:sz w:val="24"/>
        </w:rPr>
        <w:t xml:space="preserve"> дополнить подпунктом 20.3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"20.3. Пересмотр размера материнского (семейного) капитала";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</w:t>
      </w:r>
      <w:hyperlink w:history="0" r:id="rId15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26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6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подпункты 26.12</w:t>
        </w:r>
      </w:hyperlink>
      <w:r>
        <w:rPr>
          <w:sz w:val="24"/>
        </w:rPr>
        <w:t xml:space="preserve"> и </w:t>
      </w:r>
      <w:hyperlink w:history="0" r:id="rId17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26.13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"26.12. Предоставление ежемесячной денежной компенсации гражданам в зависимости от времени проживания (работы) на территориях зон радиоактивного загрязнения вследствие катастрофы на Чернобыльской АЭС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26.13. Сохранение среднего заработка на период обучения новым профессиям и трудоустройства гражданам, эвакуированным и переселенным (переселяемым), а также выехавшим в добровольном порядке на новое место жительства с территории отдельных зон радиоактивного загрязнения вследствие катастрофы на Чернобыльской АЭС";</w:t>
      </w:r>
    </w:p>
    <w:p>
      <w:pPr>
        <w:pStyle w:val="0"/>
        <w:spacing w:before="240" w:lineRule="auto"/>
        <w:ind w:firstLine="540"/>
        <w:jc w:val="both"/>
      </w:pPr>
      <w:hyperlink w:history="0" r:id="rId18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26.15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"26.15. Оплата дополнительного оплачиваемого отпуска и предоставление единовременной компенсации на оздоровление, выплачиваемой одновременно с дополнительным оплачиваемым отпуском гражданам, подвергшимся воздействию радиации вследствие катастрофы на Чернобыльской АЭС";</w:t>
      </w:r>
    </w:p>
    <w:p>
      <w:pPr>
        <w:pStyle w:val="0"/>
        <w:spacing w:before="240" w:lineRule="auto"/>
        <w:ind w:firstLine="540"/>
        <w:jc w:val="both"/>
      </w:pPr>
      <w:hyperlink w:history="0" r:id="rId19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26.22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"26.22. Предоставление оплаты дополнительного оплачиваемого отпуска гражданам, подвергшимся радиационному воздействию вследствие ядерных испытаний на Семипалатинском полигоне";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8 п. 1 </w:t>
            </w:r>
            <w:hyperlink w:history="0" w:anchor="P51" w:tooltip="2. Изменения, указанные в подпункте 8 и подпункте 12 пункта 1 настоящего приказа, вступают в силу с 1 января 2026 года.">
              <w:r>
                <w:rPr>
                  <w:sz w:val="24"/>
                  <w:color w:val="0000ff"/>
                </w:rPr>
                <w:t xml:space="preserve">вступил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2" w:name="P32"/>
    <w:bookmarkEnd w:id="32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8) </w:t>
      </w:r>
      <w:hyperlink w:history="0" r:id="rId20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35</w:t>
        </w:r>
      </w:hyperlink>
      <w:r>
        <w:rPr>
          <w:sz w:val="24"/>
        </w:rPr>
        <w:t xml:space="preserve"> и </w:t>
      </w:r>
      <w:hyperlink w:history="0" r:id="rId21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 35.1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</w:t>
      </w:r>
      <w:hyperlink w:history="0" r:id="rId22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подпункты 39.1</w:t>
        </w:r>
      </w:hyperlink>
      <w:r>
        <w:rPr>
          <w:sz w:val="24"/>
        </w:rPr>
        <w:t xml:space="preserve"> - </w:t>
      </w:r>
      <w:hyperlink w:history="0" r:id="rId23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39.3</w:t>
        </w:r>
      </w:hyperlink>
      <w:r>
        <w:rPr>
          <w:sz w:val="24"/>
        </w:rPr>
        <w:t xml:space="preserve">, </w:t>
      </w:r>
      <w:hyperlink w:history="0" r:id="rId24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39.5</w:t>
        </w:r>
      </w:hyperlink>
      <w:r>
        <w:rPr>
          <w:sz w:val="24"/>
        </w:rPr>
        <w:t xml:space="preserve">, </w:t>
      </w:r>
      <w:hyperlink w:history="0" r:id="rId25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39.6</w:t>
        </w:r>
      </w:hyperlink>
      <w:r>
        <w:rPr>
          <w:sz w:val="24"/>
        </w:rPr>
        <w:t xml:space="preserve"> и </w:t>
      </w:r>
      <w:hyperlink w:history="0" r:id="rId26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39.8 пункта 39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"39.1. Выдача направлений на получение технических средств реабилитации, протезов, протезно-ортопедических изделий, ремонт, а также выдача специальных талонов и (или) именных направлений на право бесплатного проезда к месту нахождения организации, в которую выдано направление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39.2. Выдача направления для получения собаки-проводника, а также специальных талонов и (или) именных направлений в случае необходимости проезда для получения собаки-проводника и обратно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39.3. Выдача направления в организацию, предоставляющую услуги по переводу русского жестового языка (сурдопереводу, тифлосурдопереводу)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39.5. Выплата компенсации расходов, произведенных за счет собственных средств, на оплату проезда к месту нахождения организации, в которую выдано направление на получение (изготовление, ремонт) технических средств реабилитации, протезов, протезно-ортопедических изделий, собаки-проводника, и обратно, в том числе по провозу собаки-проводника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39.6. Выплата ежегодной денежной компенсации расходов на содержание и ветеринарное обслуживание собак-проводников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39.8. Выдача (направление) выписки из реестра электронных сертификатов";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</w:t>
      </w:r>
      <w:hyperlink w:history="0" r:id="rId27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45 и подпунктом 45.1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"45. Регистрация и снятие с учета страхователей - физических лиц, заключивших трудовой или гражданско-правовой договор с работником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45.1. Регистрация и снятие с учета страхователей - физических лиц, заключивших трудовой или гражданско-правовой договор с работником";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</w:t>
      </w:r>
      <w:hyperlink w:history="0" r:id="rId28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46 и подпунктом 46.1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"46. Регистрация и снятие с регистрационного учета страхователей - юридических лиц по месту нахождения обособленных подразделений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46.1. Регистрация и снятие с регистрационного учета страхователей - юридических лиц по месту нахождения обособленных подразделений";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12 п. 1 </w:t>
            </w:r>
            <w:hyperlink w:history="0" w:anchor="P51" w:tooltip="2. Изменения, указанные в подпункте 8 и подпункте 12 пункта 1 настоящего приказа, вступают в силу с 1 января 2026 года.">
              <w:r>
                <w:rPr>
                  <w:sz w:val="24"/>
                  <w:color w:val="0000ff"/>
                </w:rPr>
                <w:t xml:space="preserve">вступил</w:t>
              </w:r>
            </w:hyperlink>
            <w:r>
              <w:rPr>
                <w:sz w:val="24"/>
                <w:color w:val="392c69"/>
              </w:rPr>
              <w:t xml:space="preserve"> в силу с 01.01.2026.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8" w:name="P48"/>
    <w:bookmarkEnd w:id="48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12) </w:t>
      </w:r>
      <w:hyperlink w:history="0" r:id="rId29" w:tooltip="Приказ СФР от 17.02.2023 N 210 (ред. от 29.08.2025) &quot;Об утверждении Перечня государственных услуг, предоставляемых Фондом пенсионного и социального страхования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47 и подпунктом 47.1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"47. Предоставление ежегодной семейной выплаты гражданам Российской Федерации, имеющим двух и более детей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47.1. Предоставление ежегодной семейной выплаты гражданам Российской Федерации, имеющим двух и более детей".</w:t>
      </w:r>
    </w:p>
    <w:bookmarkStart w:id="51" w:name="P51"/>
    <w:bookmarkEnd w:id="5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Изменения, указанные в </w:t>
      </w:r>
      <w:hyperlink w:history="0" w:anchor="P32" w:tooltip="8) пункт 35 и подпункт 35.1 исключить;">
        <w:r>
          <w:rPr>
            <w:sz w:val="24"/>
            <w:color w:val="0000ff"/>
          </w:rPr>
          <w:t xml:space="preserve">подпункте 8</w:t>
        </w:r>
      </w:hyperlink>
      <w:r>
        <w:rPr>
          <w:sz w:val="24"/>
        </w:rPr>
        <w:t xml:space="preserve"> и </w:t>
      </w:r>
      <w:hyperlink w:history="0" w:anchor="P48" w:tooltip="12) дополнить пунктом 47 и подпунктом 47.1 следующего содержания:">
        <w:r>
          <w:rPr>
            <w:sz w:val="24"/>
            <w:color w:val="0000ff"/>
          </w:rPr>
          <w:t xml:space="preserve">подпункте 12 пункта 1</w:t>
        </w:r>
      </w:hyperlink>
      <w:r>
        <w:rPr>
          <w:sz w:val="24"/>
        </w:rPr>
        <w:t xml:space="preserve"> настоящего приказа, вступают в силу с 1 января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22.12.2025 N 1622</w:t>
            <w:br/>
            <w:t>"О внесении изменений в приказ Фонда пенсионного и социального страхования Российской Фе...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СФР от 22.12.2025 N 1622 "О внесении изменений в приказ Фонда пенсионного и социального страхования Российской Фе...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235&amp;date=06.02.2026&amp;demo=2" TargetMode = "External"/><Relationship Id="rId8" Type="http://schemas.openxmlformats.org/officeDocument/2006/relationships/hyperlink" Target="https://login.consultant.ru/link/?req=doc&amp;base=LAW&amp;n=515466&amp;date=06.02.2026&amp;dst=100021&amp;field=134&amp;demo=2" TargetMode = "External"/><Relationship Id="rId9" Type="http://schemas.openxmlformats.org/officeDocument/2006/relationships/hyperlink" Target="https://login.consultant.ru/link/?req=doc&amp;base=LAW&amp;n=515466&amp;date=06.02.2026&amp;dst=100082&amp;field=134&amp;demo=2" TargetMode = "External"/><Relationship Id="rId10" Type="http://schemas.openxmlformats.org/officeDocument/2006/relationships/hyperlink" Target="https://login.consultant.ru/link/?req=doc&amp;base=LAW&amp;n=515466&amp;date=06.02.2026&amp;dst=100084&amp;field=134&amp;demo=2" TargetMode = "External"/><Relationship Id="rId11" Type="http://schemas.openxmlformats.org/officeDocument/2006/relationships/hyperlink" Target="https://login.consultant.ru/link/?req=doc&amp;base=LAW&amp;n=515466&amp;date=06.02.2026&amp;dst=100171&amp;field=134&amp;demo=2" TargetMode = "External"/><Relationship Id="rId12" Type="http://schemas.openxmlformats.org/officeDocument/2006/relationships/hyperlink" Target="https://login.consultant.ru/link/?req=doc&amp;base=LAW&amp;n=515466&amp;date=06.02.2026&amp;dst=100195&amp;field=134&amp;demo=2" TargetMode = "External"/><Relationship Id="rId13" Type="http://schemas.openxmlformats.org/officeDocument/2006/relationships/hyperlink" Target="https://login.consultant.ru/link/?req=doc&amp;base=LAW&amp;n=515466&amp;date=06.02.2026&amp;dst=100187&amp;field=134&amp;demo=2" TargetMode = "External"/><Relationship Id="rId14" Type="http://schemas.openxmlformats.org/officeDocument/2006/relationships/hyperlink" Target="https://login.consultant.ru/link/?req=doc&amp;base=LAW&amp;n=515466&amp;date=06.02.2026&amp;dst=100241&amp;field=134&amp;demo=2" TargetMode = "External"/><Relationship Id="rId15" Type="http://schemas.openxmlformats.org/officeDocument/2006/relationships/hyperlink" Target="https://login.consultant.ru/link/?req=doc&amp;base=LAW&amp;n=515466&amp;date=06.02.2026&amp;dst=100317&amp;field=134&amp;demo=2" TargetMode = "External"/><Relationship Id="rId16" Type="http://schemas.openxmlformats.org/officeDocument/2006/relationships/hyperlink" Target="https://login.consultant.ru/link/?req=doc&amp;base=LAW&amp;n=515466&amp;date=06.02.2026&amp;dst=100341&amp;field=134&amp;demo=2" TargetMode = "External"/><Relationship Id="rId17" Type="http://schemas.openxmlformats.org/officeDocument/2006/relationships/hyperlink" Target="https://login.consultant.ru/link/?req=doc&amp;base=LAW&amp;n=515466&amp;date=06.02.2026&amp;dst=100343&amp;field=134&amp;demo=2" TargetMode = "External"/><Relationship Id="rId18" Type="http://schemas.openxmlformats.org/officeDocument/2006/relationships/hyperlink" Target="https://login.consultant.ru/link/?req=doc&amp;base=LAW&amp;n=515466&amp;date=06.02.2026&amp;dst=100347&amp;field=134&amp;demo=2" TargetMode = "External"/><Relationship Id="rId19" Type="http://schemas.openxmlformats.org/officeDocument/2006/relationships/hyperlink" Target="https://login.consultant.ru/link/?req=doc&amp;base=LAW&amp;n=515466&amp;date=06.02.2026&amp;dst=100317&amp;field=134&amp;demo=2" TargetMode = "External"/><Relationship Id="rId20" Type="http://schemas.openxmlformats.org/officeDocument/2006/relationships/hyperlink" Target="https://login.consultant.ru/link/?req=doc&amp;base=LAW&amp;n=515466&amp;date=06.02.2026&amp;dst=100403&amp;field=134&amp;demo=2" TargetMode = "External"/><Relationship Id="rId21" Type="http://schemas.openxmlformats.org/officeDocument/2006/relationships/hyperlink" Target="https://login.consultant.ru/link/?req=doc&amp;base=LAW&amp;n=515466&amp;date=06.02.2026&amp;dst=100405&amp;field=134&amp;demo=2" TargetMode = "External"/><Relationship Id="rId22" Type="http://schemas.openxmlformats.org/officeDocument/2006/relationships/hyperlink" Target="https://login.consultant.ru/link/?req=doc&amp;base=LAW&amp;n=515466&amp;date=06.02.2026&amp;dst=100424&amp;field=134&amp;demo=2" TargetMode = "External"/><Relationship Id="rId23" Type="http://schemas.openxmlformats.org/officeDocument/2006/relationships/hyperlink" Target="https://login.consultant.ru/link/?req=doc&amp;base=LAW&amp;n=515466&amp;date=06.02.2026&amp;dst=100428&amp;field=134&amp;demo=2" TargetMode = "External"/><Relationship Id="rId24" Type="http://schemas.openxmlformats.org/officeDocument/2006/relationships/hyperlink" Target="https://login.consultant.ru/link/?req=doc&amp;base=LAW&amp;n=515466&amp;date=06.02.2026&amp;dst=100433&amp;field=134&amp;demo=2" TargetMode = "External"/><Relationship Id="rId25" Type="http://schemas.openxmlformats.org/officeDocument/2006/relationships/hyperlink" Target="https://login.consultant.ru/link/?req=doc&amp;base=LAW&amp;n=515466&amp;date=06.02.2026&amp;dst=100435&amp;field=134&amp;demo=2" TargetMode = "External"/><Relationship Id="rId26" Type="http://schemas.openxmlformats.org/officeDocument/2006/relationships/hyperlink" Target="https://login.consultant.ru/link/?req=doc&amp;base=LAW&amp;n=515466&amp;date=06.02.2026&amp;dst=100440&amp;field=134&amp;demo=2" TargetMode = "External"/><Relationship Id="rId27" Type="http://schemas.openxmlformats.org/officeDocument/2006/relationships/hyperlink" Target="https://login.consultant.ru/link/?req=doc&amp;base=LAW&amp;n=515466&amp;date=06.02.2026&amp;dst=100021&amp;field=134&amp;demo=2" TargetMode = "External"/><Relationship Id="rId28" Type="http://schemas.openxmlformats.org/officeDocument/2006/relationships/hyperlink" Target="https://login.consultant.ru/link/?req=doc&amp;base=LAW&amp;n=515466&amp;date=06.02.2026&amp;dst=100021&amp;field=134&amp;demo=2" TargetMode = "External"/><Relationship Id="rId29" Type="http://schemas.openxmlformats.org/officeDocument/2006/relationships/hyperlink" Target="https://login.consultant.ru/link/?req=doc&amp;base=LAW&amp;n=515466&amp;date=06.02.2026&amp;dst=10002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22.12.2025 N 1622
"О внесении изменений в приказ Фонда пенсионного и социального страхования Российской Федерации от 17 февраля 2023 г. N 210"</dc:title>
  <dcterms:created xsi:type="dcterms:W3CDTF">2026-02-06T13:02:27Z</dcterms:created>
</cp:coreProperties>
</file>