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Письмо ФНС России от 11.11.2025 N СД-4-3/10127@</w:t>
              <w:br/>
              <w:t xml:space="preserve">"По вопросу учета в составе расходов по УСН расходов, предусмотренных пп. 8 п. 1 ст. 346.16 НК РФ"</w:t>
              <w:br/>
              <w:t xml:space="preserve">(вместе с &lt;Письмом&gt; Минфина России от 26.05.2025 N 03-11-09/51466)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ноября 2025 г. N СД-4-3/10127@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ВОПРОСУ</w:t>
      </w:r>
    </w:p>
    <w:p>
      <w:pPr>
        <w:pStyle w:val="2"/>
        <w:jc w:val="center"/>
      </w:pPr>
      <w:r>
        <w:rPr>
          <w:sz w:val="24"/>
        </w:rPr>
        <w:t xml:space="preserve">УЧЕТА В СОСТАВЕ РАСХОДОВ ПО УСН РАСХОДОВ, ПРЕДУСМОТРЕННЫХ</w:t>
      </w:r>
    </w:p>
    <w:p>
      <w:pPr>
        <w:pStyle w:val="2"/>
        <w:jc w:val="center"/>
      </w:pPr>
      <w:r>
        <w:rPr>
          <w:sz w:val="24"/>
        </w:rPr>
        <w:t xml:space="preserve">ПП. 8 П. 1 СТ. 346.16 НК РФ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сведения и использования в работе </w:t>
      </w:r>
      <w:hyperlink w:history="0" w:anchor="P26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Министерства финансов Российской Федерации от 26.05.2025 N 03-11-09/51466 по вопросу возможности учета в составе расходов при определении налоговой базы по упрощенной системе налогообложения (далее - УСН) расходов, предусмотренных </w:t>
      </w:r>
      <w:hyperlink w:history="0" r:id="rId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подпунктом 8 пункта 1 статьи 346.16</w:t>
        </w:r>
      </w:hyperlink>
      <w:r>
        <w:rPr>
          <w:sz w:val="24"/>
        </w:rPr>
        <w:t xml:space="preserve"> Налогового кодекса Российской Федерации, налогоплательщиками, применяющими УСН с объектом налогообложения доходы, уменьшенные на величину расходов, у которых возникла обязанность по исчислению и уплате суммы налога на добавленную стоимость. Управлениям ФНС России по субъектам Российской Федерации поручается довести данное письмо до нижестоящих налоговых органов.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Д.С.САТИН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мая 2025 г. N 03-11-09/51466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указанным письмом Департамент налоговой политики рассмотрел позицию ФНС России по вопросу возможности учета в составе расходов при определении налоговой базы по упрощенной системе налогообложения расходов, предусмотренных </w:t>
      </w:r>
      <w:hyperlink w:history="0" r:id="rId9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подпунктом 8 пункта 1 статьи 346.16</w:t>
        </w:r>
      </w:hyperlink>
      <w:r>
        <w:rPr>
          <w:sz w:val="24"/>
        </w:rPr>
        <w:t xml:space="preserve"> Налогового кодекса Российской Федерации, налогоплательщиками, применяющими УСН с объектом налогообложения доходы, уменьшенные на величину расходов, у которых возникла обязанность по исчислению и уплате суммы налога на добавленную стоимость (далее соответственно - УСН, Кодекс, НДС)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10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с 01.01.2025 организации и индивидуальные предприниматели, применяющие УСН, признаются налогоплательщиками НДС.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то же время указанным организациям и индивидуальным предпринимателям предоставляется освобождение от исполнения обязанностей налогоплательщика, связанных с исчислением и уплатой НДС, в порядке и на условиях, предусмотренных </w:t>
      </w:r>
      <w:hyperlink w:history="0" r:id="rId1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статьей 145</w:t>
        </w:r>
      </w:hyperlink>
      <w:r>
        <w:rPr>
          <w:sz w:val="24"/>
        </w:rPr>
        <w:t xml:space="preserve"> главы 21 "Налог на добавленную стоимость"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организации или индивидуальные предприниматели, применяющие УСН, не имеют оснований для освобождения от НДС, предусмотренного </w:t>
      </w:r>
      <w:hyperlink w:history="0" r:id="rId12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статьей 145</w:t>
        </w:r>
      </w:hyperlink>
      <w:r>
        <w:rPr>
          <w:sz w:val="24"/>
        </w:rPr>
        <w:t xml:space="preserve"> Кодекса, операции по реализации товаров (работ, услуг), имущественных прав, осуществляемые с 01.01.2025 такими организациями и индивидуальными предпринимателями, облагаются НДС в общеустановленном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этим организациями и индивидуальными предпринимателями, применяющими УСН с 01.01.2025, при реализации товаров (выполнении работ, оказании услуг), передаче имущественных прав, подлежащих налогообложению НДС в соответствии со </w:t>
      </w:r>
      <w:hyperlink w:history="0" r:id="rId13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статьей 146</w:t>
        </w:r>
      </w:hyperlink>
      <w:r>
        <w:rPr>
          <w:sz w:val="24"/>
        </w:rPr>
        <w:t xml:space="preserve"> Кодекса, могут применяться налоговые ставки в размере 0, 10 или 20 процентов, указанные в </w:t>
      </w:r>
      <w:hyperlink w:history="0" r:id="rId14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5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3 статьи 164</w:t>
        </w:r>
      </w:hyperlink>
      <w:r>
        <w:rPr>
          <w:sz w:val="24"/>
        </w:rPr>
        <w:t xml:space="preserve"> Кодекса, если ими решение о применении норм </w:t>
      </w:r>
      <w:hyperlink w:history="0" r:id="rId16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пункта 8 статьи 164</w:t>
        </w:r>
      </w:hyperlink>
      <w:r>
        <w:rPr>
          <w:sz w:val="24"/>
        </w:rPr>
        <w:t xml:space="preserve"> Кодекса не принято. При этом данные организации и индивидуальные предприниматели вправе перейти на исчисление и уплату НДС по налоговым ставкам в размере 5 или 7 процентов, указанным в </w:t>
      </w:r>
      <w:hyperlink w:history="0" r:id="rId17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пункте 8 статьи 164</w:t>
        </w:r>
      </w:hyperlink>
      <w:r>
        <w:rPr>
          <w:sz w:val="24"/>
        </w:rPr>
        <w:t xml:space="preserve"> Кодекса, а также 0 процентов (в отношении операций, указанных в </w:t>
      </w:r>
      <w:hyperlink w:history="0" r:id="rId1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9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1.2</w:t>
        </w:r>
      </w:hyperlink>
      <w:r>
        <w:rPr>
          <w:sz w:val="24"/>
        </w:rPr>
        <w:t xml:space="preserve">, </w:t>
      </w:r>
      <w:hyperlink w:history="0" r:id="rId20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2.1</w:t>
        </w:r>
      </w:hyperlink>
      <w:r>
        <w:rPr>
          <w:sz w:val="24"/>
        </w:rPr>
        <w:t xml:space="preserve"> - </w:t>
      </w:r>
      <w:hyperlink w:history="0" r:id="rId2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, </w:t>
      </w:r>
      <w:hyperlink w:history="0" r:id="rId22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и </w:t>
      </w:r>
      <w:hyperlink w:history="0" r:id="rId23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11 пункта 1 статьи 164</w:t>
        </w:r>
      </w:hyperlink>
      <w:r>
        <w:rPr>
          <w:sz w:val="24"/>
        </w:rPr>
        <w:t xml:space="preserve"> Кодекса).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4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подпунктам 3</w:t>
        </w:r>
      </w:hyperlink>
      <w:r>
        <w:rPr>
          <w:sz w:val="24"/>
        </w:rPr>
        <w:t xml:space="preserve"> и </w:t>
      </w:r>
      <w:hyperlink w:history="0" r:id="rId25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8 пункта 2 статьи 170</w:t>
        </w:r>
      </w:hyperlink>
      <w:r>
        <w:rPr>
          <w:sz w:val="24"/>
        </w:rPr>
        <w:t xml:space="preserve"> Кодекса суммы НДС, предъявленные покупателю при приобретении товаров (работ, услуг), имущественных прав, в том числе основных средств и нематериальных активов, либо фактически уплаченные при ввозе товаров, в том числе основных средств и нематериальных активов, на территорию Российской Федерации, учитываются в стоимости таких товаров (работ, услуг), имущественных прав, в том числе основных средств и нематериальных активов, в частности, в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приобретения (ввоза) товаров (работ, услуг), в том числе основных средств и нематериальных активов, лицами, не являющимися налогоплательщиками НДС либо освобожденными от исполнения обязанностей налогоплательщика по исчислению и уплате НДС;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приобретения (ввоза) товаров (работ, услуг), в том числе основных средств и нематериальных активов, имущественных прав налогоплательщиками, применяющими УСН и исполняющими обязанности налогоплательщика, применяющего налоговые ставки, указанные в </w:t>
      </w:r>
      <w:hyperlink w:history="0" r:id="rId26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пункте 8 статьи 164</w:t>
        </w:r>
      </w:hyperlink>
      <w:r>
        <w:rPr>
          <w:sz w:val="24"/>
        </w:rPr>
        <w:t xml:space="preserve"> Кодекса, в случае использования этих товаров (работ, услуг), в том числе основных средств и нематериальных активов, имущественных прав при осуществлении операций по реализации товаров (работ, услуг), имущественных прав, налогообложение которых производится по налоговым ставкам, указанным в </w:t>
      </w:r>
      <w:hyperlink w:history="0" r:id="rId27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1.2</w:t>
        </w:r>
      </w:hyperlink>
      <w:r>
        <w:rPr>
          <w:sz w:val="24"/>
        </w:rPr>
        <w:t xml:space="preserve">, </w:t>
      </w:r>
      <w:hyperlink w:history="0" r:id="rId29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2.1</w:t>
        </w:r>
      </w:hyperlink>
      <w:r>
        <w:rPr>
          <w:sz w:val="24"/>
        </w:rPr>
        <w:t xml:space="preserve"> - </w:t>
      </w:r>
      <w:hyperlink w:history="0" r:id="rId30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, </w:t>
      </w:r>
      <w:hyperlink w:history="0" r:id="rId3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r:id="rId32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11 пункта 1</w:t>
        </w:r>
      </w:hyperlink>
      <w:r>
        <w:rPr>
          <w:sz w:val="24"/>
        </w:rPr>
        <w:t xml:space="preserve"> и </w:t>
      </w:r>
      <w:hyperlink w:history="0" r:id="rId33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пункте 8 статьи 164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организации и индивидуальные предприниматели, применяющие УСН с освобождением от исполнения обязанностей налогоплательщика по исчислению и уплате НДС, либо с исчислением НДС по налоговым ставкам в размере 5 и 7 процентов, суммы НДС по приобретенным товарам (работам, услугам) к вычету не принимают, а учитывают в стоимости этих товаров (работ, услуг).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Что касается организаций и индивидуальных предпринимателей, применяющих УСН и осуществляющих операции по реализации товаров (работ, услуг), имущественных прав, налогообложение которых НДС производится по налоговым ставкам в размере 0, 10 или 20 процентов, указанным в </w:t>
      </w:r>
      <w:hyperlink w:history="0" r:id="rId34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35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3 статьи 164</w:t>
        </w:r>
      </w:hyperlink>
      <w:r>
        <w:rPr>
          <w:sz w:val="24"/>
        </w:rPr>
        <w:t xml:space="preserve"> Кодекса, то суммы НДС, предъявленные указанным организациям и индивидуальным предпринимателям при приобретении товаров (работ, услуг), имущественных прав, принимаются ими к вычету в порядке и на условиях, предусмотренных </w:t>
      </w:r>
      <w:hyperlink w:history="0" r:id="rId36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статьями 171</w:t>
        </w:r>
      </w:hyperlink>
      <w:r>
        <w:rPr>
          <w:sz w:val="24"/>
        </w:rPr>
        <w:t xml:space="preserve"> и </w:t>
      </w:r>
      <w:hyperlink w:history="0" r:id="rId37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172</w:t>
        </w:r>
      </w:hyperlink>
      <w:r>
        <w:rPr>
          <w:sz w:val="24"/>
        </w:rPr>
        <w:t xml:space="preserve"> Кодекса. При этом учитывая положения </w:t>
      </w:r>
      <w:hyperlink w:history="0" r:id="rId3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статьи 252</w:t>
        </w:r>
      </w:hyperlink>
      <w:r>
        <w:rPr>
          <w:sz w:val="24"/>
        </w:rPr>
        <w:t xml:space="preserve"> Кодекса, указанные суммы НДС, подлежащие вычету при исчислении общей суммы НДС, подлежащей уплате в бюджет, не могут включаться в состав расходов при применении УСН.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11.11.2025 N СД-4-3/10127@</w:t>
            <w:br/>
            <w:t>"По вопросу учета в составе расходов по УСН расходов, предусмотренных пп...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5528&amp;date=12.02.2026&amp;dst=1645&amp;field=134&amp;demo=2" TargetMode = "External"/><Relationship Id="rId9" Type="http://schemas.openxmlformats.org/officeDocument/2006/relationships/hyperlink" Target="https://login.consultant.ru/link/?req=doc&amp;base=LAW&amp;n=525528&amp;date=12.02.2026&amp;dst=1645&amp;field=134&amp;demo=2" TargetMode = "External"/><Relationship Id="rId10" Type="http://schemas.openxmlformats.org/officeDocument/2006/relationships/hyperlink" Target="https://login.consultant.ru/link/?req=doc&amp;base=LAW&amp;n=495617&amp;date=12.02.2026&amp;demo=2" TargetMode = "External"/><Relationship Id="rId11" Type="http://schemas.openxmlformats.org/officeDocument/2006/relationships/hyperlink" Target="https://login.consultant.ru/link/?req=doc&amp;base=LAW&amp;n=525528&amp;date=12.02.2026&amp;dst=100018&amp;field=134&amp;demo=2" TargetMode = "External"/><Relationship Id="rId12" Type="http://schemas.openxmlformats.org/officeDocument/2006/relationships/hyperlink" Target="https://login.consultant.ru/link/?req=doc&amp;base=LAW&amp;n=525528&amp;date=12.02.2026&amp;dst=100018&amp;field=134&amp;demo=2" TargetMode = "External"/><Relationship Id="rId13" Type="http://schemas.openxmlformats.org/officeDocument/2006/relationships/hyperlink" Target="https://login.consultant.ru/link/?req=doc&amp;base=LAW&amp;n=525528&amp;date=12.02.2026&amp;dst=100041&amp;field=134&amp;demo=2" TargetMode = "External"/><Relationship Id="rId14" Type="http://schemas.openxmlformats.org/officeDocument/2006/relationships/hyperlink" Target="https://login.consultant.ru/link/?req=doc&amp;base=LAW&amp;n=525528&amp;date=12.02.2026&amp;dst=100299&amp;field=134&amp;demo=2" TargetMode = "External"/><Relationship Id="rId15" Type="http://schemas.openxmlformats.org/officeDocument/2006/relationships/hyperlink" Target="https://login.consultant.ru/link/?req=doc&amp;base=LAW&amp;n=525528&amp;date=12.02.2026&amp;dst=27764&amp;field=134&amp;demo=2" TargetMode = "External"/><Relationship Id="rId16" Type="http://schemas.openxmlformats.org/officeDocument/2006/relationships/hyperlink" Target="https://login.consultant.ru/link/?req=doc&amp;base=LAW&amp;n=525528&amp;date=12.02.2026&amp;dst=25758&amp;field=134&amp;demo=2" TargetMode = "External"/><Relationship Id="rId17" Type="http://schemas.openxmlformats.org/officeDocument/2006/relationships/hyperlink" Target="https://login.consultant.ru/link/?req=doc&amp;base=LAW&amp;n=525528&amp;date=12.02.2026&amp;dst=25758&amp;field=134&amp;demo=2" TargetMode = "External"/><Relationship Id="rId18" Type="http://schemas.openxmlformats.org/officeDocument/2006/relationships/hyperlink" Target="https://login.consultant.ru/link/?req=doc&amp;base=LAW&amp;n=525528&amp;date=12.02.2026&amp;dst=14535&amp;field=134&amp;demo=2" TargetMode = "External"/><Relationship Id="rId19" Type="http://schemas.openxmlformats.org/officeDocument/2006/relationships/hyperlink" Target="https://login.consultant.ru/link/?req=doc&amp;base=LAW&amp;n=525528&amp;date=12.02.2026&amp;dst=25335&amp;field=134&amp;demo=2" TargetMode = "External"/><Relationship Id="rId20" Type="http://schemas.openxmlformats.org/officeDocument/2006/relationships/hyperlink" Target="https://login.consultant.ru/link/?req=doc&amp;base=LAW&amp;n=525528&amp;date=12.02.2026&amp;dst=6028&amp;field=134&amp;demo=2" TargetMode = "External"/><Relationship Id="rId21" Type="http://schemas.openxmlformats.org/officeDocument/2006/relationships/hyperlink" Target="https://login.consultant.ru/link/?req=doc&amp;base=LAW&amp;n=525528&amp;date=12.02.2026&amp;dst=6851&amp;field=134&amp;demo=2" TargetMode = "External"/><Relationship Id="rId22" Type="http://schemas.openxmlformats.org/officeDocument/2006/relationships/hyperlink" Target="https://login.consultant.ru/link/?req=doc&amp;base=LAW&amp;n=525528&amp;date=12.02.2026&amp;dst=100307&amp;field=134&amp;demo=2" TargetMode = "External"/><Relationship Id="rId23" Type="http://schemas.openxmlformats.org/officeDocument/2006/relationships/hyperlink" Target="https://login.consultant.ru/link/?req=doc&amp;base=LAW&amp;n=525528&amp;date=12.02.2026&amp;dst=6858&amp;field=134&amp;demo=2" TargetMode = "External"/><Relationship Id="rId24" Type="http://schemas.openxmlformats.org/officeDocument/2006/relationships/hyperlink" Target="https://login.consultant.ru/link/?req=doc&amp;base=LAW&amp;n=525528&amp;date=12.02.2026&amp;dst=2115&amp;field=134&amp;demo=2" TargetMode = "External"/><Relationship Id="rId25" Type="http://schemas.openxmlformats.org/officeDocument/2006/relationships/hyperlink" Target="https://login.consultant.ru/link/?req=doc&amp;base=LAW&amp;n=525528&amp;date=12.02.2026&amp;dst=25776&amp;field=134&amp;demo=2" TargetMode = "External"/><Relationship Id="rId26" Type="http://schemas.openxmlformats.org/officeDocument/2006/relationships/hyperlink" Target="https://login.consultant.ru/link/?req=doc&amp;base=LAW&amp;n=525528&amp;date=12.02.2026&amp;dst=25758&amp;field=134&amp;demo=2" TargetMode = "External"/><Relationship Id="rId27" Type="http://schemas.openxmlformats.org/officeDocument/2006/relationships/hyperlink" Target="https://login.consultant.ru/link/?req=doc&amp;base=LAW&amp;n=525528&amp;date=12.02.2026&amp;dst=14535&amp;field=134&amp;demo=2" TargetMode = "External"/><Relationship Id="rId28" Type="http://schemas.openxmlformats.org/officeDocument/2006/relationships/hyperlink" Target="https://login.consultant.ru/link/?req=doc&amp;base=LAW&amp;n=525528&amp;date=12.02.2026&amp;dst=25335&amp;field=134&amp;demo=2" TargetMode = "External"/><Relationship Id="rId29" Type="http://schemas.openxmlformats.org/officeDocument/2006/relationships/hyperlink" Target="https://login.consultant.ru/link/?req=doc&amp;base=LAW&amp;n=525528&amp;date=12.02.2026&amp;dst=6028&amp;field=134&amp;demo=2" TargetMode = "External"/><Relationship Id="rId30" Type="http://schemas.openxmlformats.org/officeDocument/2006/relationships/hyperlink" Target="https://login.consultant.ru/link/?req=doc&amp;base=LAW&amp;n=525528&amp;date=12.02.2026&amp;dst=6851&amp;field=134&amp;demo=2" TargetMode = "External"/><Relationship Id="rId31" Type="http://schemas.openxmlformats.org/officeDocument/2006/relationships/hyperlink" Target="https://login.consultant.ru/link/?req=doc&amp;base=LAW&amp;n=525528&amp;date=12.02.2026&amp;dst=100307&amp;field=134&amp;demo=2" TargetMode = "External"/><Relationship Id="rId32" Type="http://schemas.openxmlformats.org/officeDocument/2006/relationships/hyperlink" Target="https://login.consultant.ru/link/?req=doc&amp;base=LAW&amp;n=525528&amp;date=12.02.2026&amp;dst=6858&amp;field=134&amp;demo=2" TargetMode = "External"/><Relationship Id="rId33" Type="http://schemas.openxmlformats.org/officeDocument/2006/relationships/hyperlink" Target="https://login.consultant.ru/link/?req=doc&amp;base=LAW&amp;n=525528&amp;date=12.02.2026&amp;dst=25758&amp;field=134&amp;demo=2" TargetMode = "External"/><Relationship Id="rId34" Type="http://schemas.openxmlformats.org/officeDocument/2006/relationships/hyperlink" Target="https://login.consultant.ru/link/?req=doc&amp;base=LAW&amp;n=525528&amp;date=12.02.2026&amp;dst=100299&amp;field=134&amp;demo=2" TargetMode = "External"/><Relationship Id="rId35" Type="http://schemas.openxmlformats.org/officeDocument/2006/relationships/hyperlink" Target="https://login.consultant.ru/link/?req=doc&amp;base=LAW&amp;n=525528&amp;date=12.02.2026&amp;dst=27764&amp;field=134&amp;demo=2" TargetMode = "External"/><Relationship Id="rId36" Type="http://schemas.openxmlformats.org/officeDocument/2006/relationships/hyperlink" Target="https://login.consultant.ru/link/?req=doc&amp;base=LAW&amp;n=525528&amp;date=12.02.2026&amp;dst=100515&amp;field=134&amp;demo=2" TargetMode = "External"/><Relationship Id="rId37" Type="http://schemas.openxmlformats.org/officeDocument/2006/relationships/hyperlink" Target="https://login.consultant.ru/link/?req=doc&amp;base=LAW&amp;n=525528&amp;date=12.02.2026&amp;dst=100534&amp;field=134&amp;demo=2" TargetMode = "External"/><Relationship Id="rId38" Type="http://schemas.openxmlformats.org/officeDocument/2006/relationships/hyperlink" Target="https://login.consultant.ru/link/?req=doc&amp;base=LAW&amp;n=525528&amp;date=12.02.2026&amp;dst=10195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11.11.2025 N СД-4-3/10127@
"По вопросу учета в составе расходов по УСН расходов, предусмотренных пп. 8 п. 1 ст. 346.16 НК РФ"
(вместе с &lt;Письмом&gt; Минфина России от 26.05.2025 N 03-11-09/51466)</dc:title>
  <dcterms:created xsi:type="dcterms:W3CDTF">2026-02-12T13:13:26Z</dcterms:created>
</cp:coreProperties>
</file>