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16 февраля 2026 г. N 8039-ДН/04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Абзац третий пункта 5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устанавливает, что в состав общего имущества включается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абзацами четвертым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пятым пункта 2</w:t>
        </w:r>
      </w:hyperlink>
      <w:r>
        <w:rPr>
          <w:sz w:val="24"/>
        </w:rPr>
        <w:t xml:space="preserve"> Правил обеспечения безопасности при использовании и содержании внутридомового и внутриквартирного газового оборудования, утвержденных </w:t>
      </w:r>
      <w:hyperlink w:history="0" r:id="rId1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14.05.2013 N 410 (далее - Правила N 410), внутридомовым газовым оборудованием 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бытового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 по отоплению и (или) горячему водоснабжению.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 седьмой пункта 2</w:t>
        </w:r>
      </w:hyperlink>
      <w:r>
        <w:rPr>
          <w:sz w:val="24"/>
        </w:rPr>
        <w:t xml:space="preserve"> Правил N 410 устанавливает, что внутриквартирное газовое оборудование - газопроводы многоквартирного дома, проложенные после запорной арматуры (крана), расположенной на ответвлениях (опусках)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 1 статьи 36</w:t>
        </w:r>
      </w:hyperlink>
      <w:r>
        <w:rPr>
          <w:sz w:val="24"/>
        </w:rPr>
        <w:t xml:space="preserve"> Жилищного кодекса Российской Федерации (далее - ЖК РФ) определяет, что собственникам помещений в многоквартирном доме принадлежит на праве общей долевой собственности общее имущество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общего имущества в многоквартирном доме определен </w:t>
      </w:r>
      <w:hyperlink w:history="0" r:id="rId13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 и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- </w:t>
      </w:r>
      <w:hyperlink w:history="0" r:id="rId16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Правил N 491.</w:t>
      </w:r>
    </w:p>
    <w:p>
      <w:pPr>
        <w:pStyle w:val="0"/>
        <w:spacing w:before="240" w:lineRule="auto"/>
        <w:ind w:firstLine="540"/>
        <w:jc w:val="both"/>
      </w:pPr>
      <w:hyperlink w:history="0" r:id="rId1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 1 статьи 38</w:t>
        </w:r>
      </w:hyperlink>
      <w:r>
        <w:rPr>
          <w:sz w:val="24"/>
        </w:rPr>
        <w:t xml:space="preserve"> ЖК РФ устанавливает, что собственники помещений в многоквартирном доме несут бремя расходов на содержание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 3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Правил N 491 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Российской Федерации определен состав внутридомового газового оборудования, являющегося составной частью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смысла </w:t>
      </w:r>
      <w:hyperlink w:history="0" r:id="rId20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пункта 80</w:t>
        </w:r>
      </w:hyperlink>
      <w:r>
        <w:rPr>
          <w:sz w:val="24"/>
        </w:rPr>
        <w:t xml:space="preserve"> Правил N 410 вытекает, что Исполнитель вправе приостановить подачу газа с предварительным письменным уведомлением заказчика.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1" w:tooltip="Постановление Правительства РФ от 14.05.2013 N 410 (ред. от 29.05.2023) &quot;О мерах по обеспечению безопасности при использовании и содержании внутридомового и внутриквартирного газового оборудования&quot; (вместе с &quot;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&quot;) {КонсультантПлюс}">
        <w:r>
          <w:rPr>
            <w:sz w:val="24"/>
            <w:color w:val="0000ff"/>
          </w:rPr>
          <w:t xml:space="preserve">абзацу десять пункта 2</w:t>
        </w:r>
      </w:hyperlink>
      <w:r>
        <w:rPr>
          <w:sz w:val="24"/>
        </w:rPr>
        <w:t xml:space="preserve"> Правил N 410 "исполнитель" - специализированная организация, которая на основании договора о техническом обслуживании и ремонте внутридомового газового оборудования в многоквартирном доме или договора о техническом обслуживании внутриквартирного газового оборудования в многоквартирном доме, или договора о техническом обслуживании внутридомового газового оборудования в жилом доме (домовладении), являющихся смешанными договорами, содержащими элементы договора подряда и договора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газового оборудования в многоквартирном доме, или договором о техническом обслуживании внутриквартирного газового оборудования в многоквартирном доме, или договором о техническом обслуживании внутридомового газового оборудования в жилом доме (домовладении).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2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пункту 9</w:t>
        </w:r>
      </w:hyperlink>
      <w:r>
        <w:rPr>
          <w:sz w:val="24"/>
        </w:rPr>
        <w:t xml:space="preserve"> Правил N 491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внешняя газораспределительная сеть, расположенная до места соединения с запорным устройством, не относится к внутридомовому газовому оборудованию. В свою очередь, запорное устройство, расположенное на газопроводе, проложенном по фасаду здания, и установленное до места соединения с газораспределительной сетью, относится к внутридомовому газовому оборудованию. В этом случае собственники помещений в многоквартирном доме несут бремя расходов за содержание указанного запорного 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 сообщается, что фасадный газопровод, расположенный до запорного устройства включительно, относится к общему имуществу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Границей балансовой (имущественной) принадлежности и эксплуатационной ответственности общества (местом подключения газопроводов, входящих в состав общего имущества в многоквартирном доме, к газораспределительной (присоединенной) сети) являются места соединения первых запорных устройств с внешней газораспределительной сетью, расположенных на внешней стороне наружной стены многоквартирного дома, а при отсутствии наружных запорных устройств место пересечения газопроводом внешней наружной стены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3" w:tooltip="Постановление Правительства РФ от 29.10.2010 N 870 (ред. от 14.12.2018) &quot;Об утверждении технического регламента о безопасности сетей газораспределения и газопотребления&quot; {КонсультантПлюс}">
        <w:r>
          <w:rPr>
            <w:sz w:val="24"/>
            <w:color w:val="0000ff"/>
          </w:rPr>
          <w:t xml:space="preserve">пунктом 31</w:t>
        </w:r>
      </w:hyperlink>
      <w:r>
        <w:rPr>
          <w:sz w:val="24"/>
        </w:rPr>
        <w:t xml:space="preserve"> Технического регламента о безопасности сетей газораспределения и газопотребления, утвержденного Постановлением Правительства Российской Федерации от 29.10.2010 N 870, количество, места размещения и вид запорной трубопроводной арматуры на наружных газопроводах должны обеспечивать возможность отключения технических и технологических устройств и отдельных участков газопроводов для обеспечения локализации и ликвидации аварий, проведения ремонтных и аварийно-восстановительных работ, а также для ликвидации и консервации сети газораспределения.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4" w:tooltip="&quot;СП 62.13330.2011*. Свод правил. Газораспределительные системы. Актуализированная редакция СНиП 42-01-2002&quot; (утв. Приказом Минрегиона России от 27.12.2010 N 780) (ред. от 27.12.2021) {КонсультантПлюс}">
        <w:r>
          <w:rPr>
            <w:sz w:val="24"/>
            <w:color w:val="0000ff"/>
          </w:rPr>
          <w:t xml:space="preserve">пункту 5.1.7</w:t>
        </w:r>
      </w:hyperlink>
      <w:r>
        <w:rPr>
          <w:sz w:val="24"/>
        </w:rPr>
        <w:t xml:space="preserve"> "СП 62.13330.2011*. Свод правил. Газораспределительные системы. Актуализированная редакция СНиП 42-01-2002", утвержденного </w:t>
      </w:r>
      <w:hyperlink w:history="0" r:id="rId25" w:tooltip="Приказ Минрегиона РФ от 27.12.2010 N 780 &quot;Об утверждении свода правил &quot;СНиП 42-01-2002 &quot;Газораспределительные системы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Минрегиона России от 27.12.2010 N 780, запорную арматуру (отключающее устройство) на газопроводах рекомендуется предусматривать на границе газораспределения и газопотребления, кроме одноквартирных или блокированных жилых домов, для которых запорная арматура устанавливается в соответствии с условиями на подключение.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установка запорной арматуры на границе сетей газораспределения и газопотребления является рекомендуемой, а не обязательной.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существует возможность подключения сети газопотребления к сети газораспределения без установки на границе указанных сетей запорной арматуры.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указанном случае границу балансовой принадлежности между сетями газораспределения и газопотребления необходимо определять в соответствии с проектной документацией на указанные сети.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целях повышения безопасности эксплуатации сетей газоснабжения, обеспечения возможности отключения поставки газа в отдельный многоквартирный дом и четкого определения границы балансовой принадлежности между сетями газораспределения и газопотребления Минстрой России полагает целесообразным установить требование об обязательности установки запорной арматуры (отключающего устройства) на границе балансовой принадлежности между сетями газораспределения и газопотребления.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Минстрой России совместно с Минэнерго России прорабатывает возможность внесения соответствующих изменений в действующее законодательство.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согласно </w:t>
      </w:r>
      <w:hyperlink w:history="0" r:id="rId26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пункту 6.2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18.11.2013 N 1038 (далее - Положение N 1038), к полномочиям Минстроя России относится предоставление юридическим и физическим лицам разъяснений по вопросам, отнесенным к установленной сфере деятельности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N 1038 установление и исследование фактических обстоятельств конкретного дела,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16.02.2026 N 8039-ДН/04</w:t>
            <w:br/>
            <w:t>&lt;О балансовой принадлежности между сетями газораспределения и газопо...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16.02.2026 N 8039-ДН/04 &lt;О балансовой принадлежности между сетями газораспределения и газопо...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914&amp;date=24.02.2026&amp;dst=100223&amp;field=134&amp;demo=2" TargetMode = "External"/><Relationship Id="rId8" Type="http://schemas.openxmlformats.org/officeDocument/2006/relationships/hyperlink" Target="https://login.consultant.ru/link/?req=doc&amp;base=LAW&amp;n=448436&amp;date=24.02.2026&amp;dst=100024&amp;field=134&amp;demo=2" TargetMode = "External"/><Relationship Id="rId9" Type="http://schemas.openxmlformats.org/officeDocument/2006/relationships/hyperlink" Target="https://login.consultant.ru/link/?req=doc&amp;base=LAW&amp;n=448436&amp;date=24.02.2026&amp;dst=100348&amp;field=134&amp;demo=2" TargetMode = "External"/><Relationship Id="rId10" Type="http://schemas.openxmlformats.org/officeDocument/2006/relationships/hyperlink" Target="https://login.consultant.ru/link/?req=doc&amp;base=LAW&amp;n=448436&amp;date=24.02.2026&amp;demo=2" TargetMode = "External"/><Relationship Id="rId11" Type="http://schemas.openxmlformats.org/officeDocument/2006/relationships/hyperlink" Target="https://login.consultant.ru/link/?req=doc&amp;base=LAW&amp;n=448436&amp;date=24.02.2026&amp;dst=100350&amp;field=134&amp;demo=2" TargetMode = "External"/><Relationship Id="rId12" Type="http://schemas.openxmlformats.org/officeDocument/2006/relationships/hyperlink" Target="https://login.consultant.ru/link/?req=doc&amp;base=LAW&amp;n=523355&amp;date=24.02.2026&amp;dst=101029&amp;field=134&amp;demo=2" TargetMode = "External"/><Relationship Id="rId13" Type="http://schemas.openxmlformats.org/officeDocument/2006/relationships/hyperlink" Target="https://login.consultant.ru/link/?req=doc&amp;base=LAW&amp;n=523355&amp;date=24.02.2026&amp;dst=101029&amp;field=134&amp;demo=2" TargetMode = "External"/><Relationship Id="rId14" Type="http://schemas.openxmlformats.org/officeDocument/2006/relationships/hyperlink" Target="https://login.consultant.ru/link/?req=doc&amp;base=LAW&amp;n=500914&amp;date=24.02.2026&amp;dst=100028&amp;field=134&amp;demo=2" TargetMode = "External"/><Relationship Id="rId15" Type="http://schemas.openxmlformats.org/officeDocument/2006/relationships/hyperlink" Target="https://login.consultant.ru/link/?req=doc&amp;base=LAW&amp;n=500914&amp;date=24.02.2026&amp;dst=2&amp;field=134&amp;demo=2" TargetMode = "External"/><Relationship Id="rId16" Type="http://schemas.openxmlformats.org/officeDocument/2006/relationships/hyperlink" Target="https://login.consultant.ru/link/?req=doc&amp;base=LAW&amp;n=500914&amp;date=24.02.2026&amp;dst=100042&amp;field=134&amp;demo=2" TargetMode = "External"/><Relationship Id="rId17" Type="http://schemas.openxmlformats.org/officeDocument/2006/relationships/hyperlink" Target="https://login.consultant.ru/link/?req=doc&amp;base=LAW&amp;n=523355&amp;date=24.02.2026&amp;dst=100282&amp;field=134&amp;demo=2" TargetMode = "External"/><Relationship Id="rId18" Type="http://schemas.openxmlformats.org/officeDocument/2006/relationships/hyperlink" Target="https://login.consultant.ru/link/?req=doc&amp;base=LAW&amp;n=500914&amp;date=24.02.2026&amp;dst=100036&amp;field=134&amp;demo=2" TargetMode = "External"/><Relationship Id="rId19" Type="http://schemas.openxmlformats.org/officeDocument/2006/relationships/hyperlink" Target="https://login.consultant.ru/link/?req=doc&amp;base=LAW&amp;n=500914&amp;date=24.02.2026&amp;dst=100037&amp;field=134&amp;demo=2" TargetMode = "External"/><Relationship Id="rId20" Type="http://schemas.openxmlformats.org/officeDocument/2006/relationships/hyperlink" Target="https://login.consultant.ru/link/?req=doc&amp;base=LAW&amp;n=448436&amp;date=24.02.2026&amp;dst=100257&amp;field=134&amp;demo=2" TargetMode = "External"/><Relationship Id="rId21" Type="http://schemas.openxmlformats.org/officeDocument/2006/relationships/hyperlink" Target="https://login.consultant.ru/link/?req=doc&amp;base=LAW&amp;n=448436&amp;date=24.02.2026&amp;dst=11&amp;field=134&amp;demo=2" TargetMode = "External"/><Relationship Id="rId22" Type="http://schemas.openxmlformats.org/officeDocument/2006/relationships/hyperlink" Target="https://login.consultant.ru/link/?req=doc&amp;base=LAW&amp;n=500914&amp;date=24.02.2026&amp;dst=100042&amp;field=134&amp;demo=2" TargetMode = "External"/><Relationship Id="rId23" Type="http://schemas.openxmlformats.org/officeDocument/2006/relationships/hyperlink" Target="https://login.consultant.ru/link/?req=doc&amp;base=LAW&amp;n=313920&amp;date=24.02.2026&amp;dst=100106&amp;field=134&amp;demo=2" TargetMode = "External"/><Relationship Id="rId24" Type="http://schemas.openxmlformats.org/officeDocument/2006/relationships/hyperlink" Target="https://login.consultant.ru/link/?req=doc&amp;base=STR&amp;n=28578&amp;date=24.02.2026&amp;dst=101412&amp;field=134&amp;demo=2" TargetMode = "External"/><Relationship Id="rId25" Type="http://schemas.openxmlformats.org/officeDocument/2006/relationships/hyperlink" Target="https://login.consultant.ru/link/?req=doc&amp;base=LAW&amp;n=263288&amp;date=24.02.2026&amp;demo=2" TargetMode = "External"/><Relationship Id="rId26" Type="http://schemas.openxmlformats.org/officeDocument/2006/relationships/hyperlink" Target="https://login.consultant.ru/link/?req=doc&amp;base=LAW&amp;n=507478&amp;date=24.02.2026&amp;dst=100219&amp;field=134&amp;demo=2" TargetMode = "External"/><Relationship Id="rId27" Type="http://schemas.openxmlformats.org/officeDocument/2006/relationships/hyperlink" Target="https://login.consultant.ru/link/?req=doc&amp;base=LAW&amp;n=507478&amp;date=24.02.2026&amp;dst=100015&amp;field=134&amp;demo=2" TargetMode = "External"/><Relationship Id="rId28" Type="http://schemas.openxmlformats.org/officeDocument/2006/relationships/hyperlink" Target="https://login.consultant.ru/link/?req=doc&amp;base=LAW&amp;n=490536&amp;date=24.02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16.02.2026 N 8039-ДН/04
&lt;О балансовой принадлежности между сетями газораспределения и газопотребления в многоквартирном доме&gt;</dc:title>
  <dcterms:created xsi:type="dcterms:W3CDTF">2026-02-24T16:39:44Z</dcterms:created>
</cp:coreProperties>
</file>