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18 февраля 2026 г. N 3571-ОГ/00</w:t>
      </w:r>
    </w:p>
    <w:p>
      <w:pPr>
        <w:pStyle w:val="0"/>
        <w:ind w:firstLine="540"/>
        <w:jc w:val="both"/>
      </w:pPr>
      <w:r>
        <w:rPr>
          <w:sz w:val="24"/>
        </w:rPr>
      </w:r>
    </w:p>
    <w:p>
      <w:pPr>
        <w:pStyle w:val="0"/>
        <w:ind w:firstLine="540"/>
        <w:jc w:val="both"/>
      </w:pPr>
      <w:r>
        <w:rPr>
          <w:sz w:val="24"/>
        </w:rPr>
        <w:t xml:space="preserve">Департамент развития жилищно-коммунального хозяйства Минстроя России рассмотрел обращение и в рамках своей компетенции сообщает следующее.</w:t>
      </w:r>
    </w:p>
    <w:p>
      <w:pPr>
        <w:pStyle w:val="0"/>
        <w:spacing w:before="240" w:lineRule="auto"/>
        <w:ind w:firstLine="540"/>
        <w:jc w:val="both"/>
      </w:pPr>
      <w:r>
        <w:rPr>
          <w:sz w:val="24"/>
        </w:rPr>
        <w:t xml:space="preserve">Минстроем России ведется постоянная работа по мониторингу правоприменения и актуальным проблемам, возникающим в связи с реализацией законодательства в сфере жилищно-коммунального хозяйства. Кроме того, Минстрой России внимательно анализирует предложения по его совершенствованию, имеющиеся у различных организаций и граждан.</w:t>
      </w:r>
    </w:p>
    <w:p>
      <w:pPr>
        <w:pStyle w:val="0"/>
        <w:spacing w:before="240" w:lineRule="auto"/>
        <w:ind w:firstLine="540"/>
        <w:jc w:val="both"/>
      </w:pPr>
      <w:r>
        <w:rPr>
          <w:sz w:val="24"/>
        </w:rPr>
        <w:t xml:space="preserve">В этой связи обращение важно для нас, поскольку содержит информацию о конкретных проблемах либо возможных вариантах их решения в области жилищно-коммунального хозяйства.</w:t>
      </w:r>
    </w:p>
    <w:p>
      <w:pPr>
        <w:pStyle w:val="0"/>
        <w:spacing w:before="240" w:lineRule="auto"/>
        <w:ind w:firstLine="540"/>
        <w:jc w:val="both"/>
      </w:pPr>
      <w:r>
        <w:rPr>
          <w:sz w:val="24"/>
        </w:rPr>
        <w:t xml:space="preserve">Представленные сведения будут проанализированы и по возможности учтены в ходе плановой работы Минстроя России, касающейся совершенствования действующего законодательства в том числе по вопросу хранения органами государственного жилищного надзора подлинников протокола и решений общих собраний собственников помещений в многоквартирном доме.</w:t>
      </w:r>
    </w:p>
    <w:p>
      <w:pPr>
        <w:pStyle w:val="0"/>
        <w:spacing w:before="240" w:lineRule="auto"/>
        <w:ind w:firstLine="540"/>
        <w:jc w:val="both"/>
      </w:pPr>
      <w:r>
        <w:rPr>
          <w:sz w:val="24"/>
        </w:rPr>
        <w:t xml:space="preserve">Благодарим за активное участие в анализе ситуации в сфере жилищно-коммунального хозяйства и выработке предложений, которые могут способствовать решению проблемных вопросов в отрасли.</w:t>
      </w:r>
    </w:p>
    <w:p>
      <w:pPr>
        <w:pStyle w:val="0"/>
        <w:spacing w:before="240" w:lineRule="auto"/>
        <w:ind w:firstLine="540"/>
        <w:jc w:val="both"/>
      </w:pPr>
      <w:r>
        <w:rPr>
          <w:sz w:val="24"/>
        </w:rPr>
        <w:t xml:space="preserve">Вместе с тем необходимо отметить следующее.</w:t>
      </w:r>
    </w:p>
    <w:p>
      <w:pPr>
        <w:pStyle w:val="0"/>
        <w:spacing w:before="240" w:lineRule="auto"/>
        <w:ind w:firstLine="540"/>
        <w:jc w:val="both"/>
      </w:pPr>
      <w:r>
        <w:rPr>
          <w:sz w:val="24"/>
        </w:rPr>
        <w:t xml:space="preserve">В силу </w:t>
      </w:r>
      <w:hyperlink w:history="0" r:id="rId7" w:tooltip="&quot;Жилищный кодекс Российской Федерации&quot; от 29.12.2004 N 188-ФЗ (ред. от 29.12.2025) {КонсультантПлюс}">
        <w:r>
          <w:rPr>
            <w:sz w:val="24"/>
            <w:color w:val="0000ff"/>
          </w:rPr>
          <w:t xml:space="preserve">статьи 154</w:t>
        </w:r>
      </w:hyperlink>
      <w:r>
        <w:rPr>
          <w:sz w:val="24"/>
        </w:rPr>
        <w:t xml:space="preserve"> Жилищного кодекса Российской Федерации (далее - ЖК РФ) плата за содержание жилого помещения включает в себя плату за услуги, работы по управлению многоквартирным домом (далее - МКД), за содержание и текущий ремонт общего имущества в МКД, а также за холодную воду, горячую воду, электрическую энергию, потребляемые при использовании и содержании общего имущества в МКД, за отведение сточных вод в целях содержания общего имущества в МКД.</w:t>
      </w:r>
    </w:p>
    <w:p>
      <w:pPr>
        <w:pStyle w:val="0"/>
        <w:spacing w:before="240" w:lineRule="auto"/>
        <w:ind w:firstLine="540"/>
        <w:jc w:val="both"/>
      </w:pPr>
      <w:r>
        <w:rPr>
          <w:sz w:val="24"/>
        </w:rPr>
        <w:t xml:space="preserve">В силу </w:t>
      </w:r>
      <w:hyperlink w:history="0" r:id="rId8"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пункта 18</w:t>
        </w:r>
      </w:hyperlink>
      <w:r>
        <w:rPr>
          <w:sz w:val="24"/>
        </w:rPr>
        <w:t xml:space="preserve"> Правил содержания общего имущества, утвержденных постановлением Правительства Российской Федерации от 13.08.2006 N 491 (далее - Правила N 491), текущий ремонт общего имущества проводится по решению общего собрания собственников помещений для предупреждения преждевременного износа и поддержания эксплуатационных показателей и работоспособности, устранения повреждений и неисправностей общего имущества или его отдельных элементов (без замены ограждающих несущих конструкций, лифтов).</w:t>
      </w:r>
    </w:p>
    <w:p>
      <w:pPr>
        <w:pStyle w:val="0"/>
        <w:spacing w:before="240" w:lineRule="auto"/>
        <w:ind w:firstLine="540"/>
        <w:jc w:val="both"/>
      </w:pPr>
      <w:r>
        <w:rPr>
          <w:sz w:val="24"/>
        </w:rPr>
        <w:t xml:space="preserve">В силу </w:t>
      </w:r>
      <w:hyperlink w:history="0" r:id="rId9" w:tooltip="&quot;Жилищный кодекс Российской Федерации&quot; от 29.12.2004 N 188-ФЗ (ред. от 29.12.2025) {КонсультантПлюс}">
        <w:r>
          <w:rPr>
            <w:sz w:val="24"/>
            <w:color w:val="0000ff"/>
          </w:rPr>
          <w:t xml:space="preserve">пункта 4.1 части 2 статьи 44</w:t>
        </w:r>
      </w:hyperlink>
      <w:r>
        <w:rPr>
          <w:sz w:val="24"/>
        </w:rPr>
        <w:t xml:space="preserve"> ЖК РФ принятие решений о текущем ремонте общего имущества в МКД относится к компетенции общего собрания собственников помещений в МКД. При этом закон не конкретизирует, должны ли такие решения приниматься перед каждым ремонтом, либо утверждается график ремонта на год или на иной срок. Наиболее распространена практика утверждения перечня работ по текущему ремонту на год.</w:t>
      </w:r>
    </w:p>
    <w:p>
      <w:pPr>
        <w:pStyle w:val="0"/>
        <w:spacing w:before="240" w:lineRule="auto"/>
        <w:ind w:firstLine="540"/>
        <w:jc w:val="both"/>
      </w:pPr>
      <w:r>
        <w:rPr>
          <w:sz w:val="24"/>
        </w:rPr>
        <w:t xml:space="preserve">Таким образом, текущий ремонт - это работы разового характера, выполняемые в определенные сроки в отношении определенного элемента общего имущества, технические характеристики которого необходимо восстановить.</w:t>
      </w:r>
    </w:p>
    <w:p>
      <w:pPr>
        <w:pStyle w:val="0"/>
        <w:spacing w:before="240" w:lineRule="auto"/>
        <w:ind w:firstLine="540"/>
        <w:jc w:val="both"/>
      </w:pPr>
      <w:r>
        <w:rPr>
          <w:sz w:val="24"/>
        </w:rPr>
        <w:t xml:space="preserve">При этом состав работ по текущему ремонту не может быть установлен законом и не может быть утвержден договором управления МКД. Он утверждается исключительно общим собранием по согласованию с лицом, осуществляющим управление МКД.</w:t>
      </w:r>
    </w:p>
    <w:p>
      <w:pPr>
        <w:pStyle w:val="0"/>
        <w:spacing w:before="240" w:lineRule="auto"/>
        <w:ind w:firstLine="540"/>
        <w:jc w:val="both"/>
      </w:pPr>
      <w:r>
        <w:rPr>
          <w:sz w:val="24"/>
        </w:rPr>
        <w:t xml:space="preserve">Стоимость работ по текущему ремонту утверждается в составе платы за содержание жилого помещения, размер которой является существенным условием договора управления МКД и подлежит утверждению общим собранием собственников помещений в МКД.</w:t>
      </w:r>
    </w:p>
    <w:p>
      <w:pPr>
        <w:pStyle w:val="0"/>
        <w:spacing w:before="240" w:lineRule="auto"/>
        <w:ind w:firstLine="540"/>
        <w:jc w:val="both"/>
      </w:pPr>
      <w:r>
        <w:rPr>
          <w:sz w:val="24"/>
        </w:rPr>
        <w:t xml:space="preserve">Лицо, осуществляющее деятельность по управлению МКД, берет на себя обязательства провести работы по текущему ремонту в установленный планом текущего ремонта, утвержденным общим собранием, срок в установленном объеме.</w:t>
      </w:r>
    </w:p>
    <w:p>
      <w:pPr>
        <w:pStyle w:val="0"/>
        <w:spacing w:before="240" w:lineRule="auto"/>
        <w:ind w:firstLine="540"/>
        <w:jc w:val="both"/>
      </w:pPr>
      <w:r>
        <w:rPr>
          <w:sz w:val="24"/>
        </w:rPr>
        <w:t xml:space="preserve">В случае если ремонт проведен в утвержденный срок в полном объеме, тогда обязательства лица, осуществляющего деятельность по управлению МКД, выполнены.</w:t>
      </w:r>
    </w:p>
    <w:p>
      <w:pPr>
        <w:pStyle w:val="0"/>
        <w:spacing w:before="240" w:lineRule="auto"/>
        <w:ind w:firstLine="540"/>
        <w:jc w:val="both"/>
      </w:pPr>
      <w:r>
        <w:rPr>
          <w:sz w:val="24"/>
        </w:rPr>
        <w:t xml:space="preserve">Если обязательства по текущему ремонту не выполнены, тогда денежные средства должны быть либо возвращены собственникам помещений в МКД, либо направлены на другие работы по текущему ремонту в соответствии с решением общего собрания.</w:t>
      </w:r>
    </w:p>
    <w:p>
      <w:pPr>
        <w:pStyle w:val="0"/>
        <w:spacing w:before="240" w:lineRule="auto"/>
        <w:ind w:firstLine="540"/>
        <w:jc w:val="both"/>
      </w:pPr>
      <w:r>
        <w:rPr>
          <w:sz w:val="24"/>
        </w:rPr>
        <w:t xml:space="preserve">В случае смены лица, управляющего МКД, у лица, ранее управлявшего МКД, также возникает обязанность возврата денежных средств, предназначенных для финансирования работ по текущему ремонту, которые не были проведены. В указанном случае неизрасходованные денежные средства, предназначенные для финансирования работ по текущему ремонту, подлежат либо возврату собственникам помещений МКД, либо лицу, приступившему к управлению таким МКД.</w:t>
      </w:r>
    </w:p>
    <w:p>
      <w:pPr>
        <w:pStyle w:val="0"/>
        <w:spacing w:before="240" w:lineRule="auto"/>
        <w:ind w:firstLine="540"/>
        <w:jc w:val="both"/>
      </w:pPr>
      <w:r>
        <w:rPr>
          <w:sz w:val="24"/>
        </w:rPr>
        <w:t xml:space="preserve">Таким образом, действующее законодательство в достаточной степени регулирует вопросы финансирования и проведения текущего ремонта общего имущества в МКД.</w:t>
      </w:r>
    </w:p>
    <w:p>
      <w:pPr>
        <w:pStyle w:val="0"/>
        <w:spacing w:before="240" w:lineRule="auto"/>
        <w:ind w:firstLine="540"/>
        <w:jc w:val="both"/>
      </w:pPr>
      <w:r>
        <w:rPr>
          <w:sz w:val="24"/>
        </w:rPr>
        <w:t xml:space="preserve">Введение специальных счетов для накопления денежных средств на текущий ремонт снизит эффективность использования таких денежных средств, не позволит осуществлять закупку материалов заранее, не позволит осуществлять работы по текущему ремонту силами самой управляющей организации (поскольку деньги со спецсчета могут быть перечислены только на спецсчет другой организации), создаст затруднения при изменении состава работ по текущему ремонту, увеличит стоимость банковского обслуживания и администрирования платежей.</w:t>
      </w:r>
    </w:p>
    <w:p>
      <w:pPr>
        <w:pStyle w:val="0"/>
        <w:spacing w:before="240" w:lineRule="auto"/>
        <w:ind w:firstLine="540"/>
        <w:jc w:val="both"/>
      </w:pPr>
      <w:r>
        <w:rPr>
          <w:sz w:val="24"/>
        </w:rPr>
        <w:t xml:space="preserve">При этом введение специальных счетов для оплаты текущего ремонта не препятствует созданию недобросовестными управляющими организациями аффилированных юридических лиц, специализирующихся на текущем ремонте и являющимися подрядчиками указанных управляющих организаций (и получателями денежных средств, предназначенных для финансирования текущего ремонта).</w:t>
      </w:r>
    </w:p>
    <w:p>
      <w:pPr>
        <w:pStyle w:val="0"/>
        <w:spacing w:before="240" w:lineRule="auto"/>
        <w:ind w:firstLine="540"/>
        <w:jc w:val="both"/>
      </w:pPr>
      <w:r>
        <w:rPr>
          <w:sz w:val="24"/>
        </w:rPr>
        <w:t xml:space="preserve">Дополнительно отмечается, что Распоряжением Правительства Российской Федерации от 31.10.2022 N 3268-р утверждена </w:t>
      </w:r>
      <w:hyperlink w:history="0" r:id="rId10" w:tooltip="Распоряжение Правительства РФ от 31.10.2022 N 3268-р (ред. от 23.10.2025) &lt;Об утверждении Стратегии развития строительной отрасли и жилищно-коммунального хозяйства Российской Федерации на период до 2030 года с прогнозом до 2035 года&gt; {КонсультантПлюс}">
        <w:r>
          <w:rPr>
            <w:sz w:val="24"/>
            <w:color w:val="0000ff"/>
          </w:rPr>
          <w:t xml:space="preserve">Стратегия</w:t>
        </w:r>
      </w:hyperlink>
      <w:r>
        <w:rPr>
          <w:sz w:val="24"/>
        </w:rPr>
        <w:t xml:space="preserve"> развития строительной отрасли и жилищно-коммунального хозяйства Российской Федерации на период до 2030 года с прогнозом до 2035 года, которой предусмотрено выполнение мероприятий по внедрению единых стандартов деятельности по управлению МКД и их обслуживанию, внедрению новых подходов в сфере государственного жилищного надзора и лицензионного контроля в сфере предпринимательской деятельности по управлению МКД, развитию институтов и моделей управления жильем, повышению эффективности эксплуатации и обеспечению непрерывного управления МКД.</w:t>
      </w:r>
    </w:p>
    <w:p>
      <w:pPr>
        <w:pStyle w:val="0"/>
        <w:spacing w:before="240" w:lineRule="auto"/>
        <w:ind w:firstLine="540"/>
        <w:jc w:val="both"/>
      </w:pPr>
      <w:r>
        <w:rPr>
          <w:sz w:val="24"/>
        </w:rPr>
        <w:t xml:space="preserve">Также следует отметить, что в случае, если, по мнению гражданина, в действиях лица, осуществляющего управление МКД, предоставляющего коммунальные услуги, содержаться признаки мошеннических действий, он вправе обратиться в адрес правоохранительных органов.</w:t>
      </w:r>
    </w:p>
    <w:p>
      <w:pPr>
        <w:pStyle w:val="0"/>
        <w:spacing w:before="240" w:lineRule="auto"/>
        <w:ind w:firstLine="540"/>
        <w:jc w:val="both"/>
      </w:pPr>
      <w:r>
        <w:rPr>
          <w:sz w:val="24"/>
        </w:rPr>
        <w:t xml:space="preserve">Обращаем внимание, что в соответствии с </w:t>
      </w:r>
      <w:hyperlink w:history="0" r:id="rId11"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13.08.1997 N 1009, письма федеральных органов исполнительной власти не являются нормативными правовыми актами.</w:t>
      </w:r>
    </w:p>
    <w:p>
      <w:pPr>
        <w:pStyle w:val="0"/>
        <w:ind w:firstLine="54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18.02.2026 N 3571-ОГ/00</w:t>
            <w:br/>
            <w:t>&lt;О текущем ремонте общего имущества в многоквартирном доме&gt;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26.02.2026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18.02.2026 N 3571-ОГ/00 &lt;О текущем ремонте общего имущества в многоквартирном доме&gt;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26.02.2026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23355&amp;date=26.02.2026&amp;dst=682&amp;field=134&amp;demo=2" TargetMode = "External"/><Relationship Id="rId8" Type="http://schemas.openxmlformats.org/officeDocument/2006/relationships/hyperlink" Target="https://login.consultant.ru/link/?req=doc&amp;base=LAW&amp;n=500914&amp;date=26.02.2026&amp;dst=100075&amp;field=134&amp;demo=2" TargetMode = "External"/><Relationship Id="rId9" Type="http://schemas.openxmlformats.org/officeDocument/2006/relationships/hyperlink" Target="https://login.consultant.ru/link/?req=doc&amp;base=LAW&amp;n=523355&amp;date=26.02.2026&amp;dst=101035&amp;field=134&amp;demo=2" TargetMode = "External"/><Relationship Id="rId10" Type="http://schemas.openxmlformats.org/officeDocument/2006/relationships/hyperlink" Target="https://login.consultant.ru/link/?req=doc&amp;base=LAW&amp;n=517438&amp;date=26.02.2026&amp;dst=100008&amp;field=134&amp;demo=2" TargetMode = "External"/><Relationship Id="rId11" Type="http://schemas.openxmlformats.org/officeDocument/2006/relationships/hyperlink" Target="https://login.consultant.ru/link/?req=doc&amp;base=LAW&amp;n=490536&amp;date=26.02.2026&amp;dst=157&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18.02.2026 N 3571-ОГ/00
&lt;О текущем ремонте общего имущества в многоквартирном доме&gt;</dc:title>
  <dcterms:created xsi:type="dcterms:W3CDTF">2026-02-26T13:44:34Z</dcterms:created>
</cp:coreProperties>
</file>