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АНТИМОНОПОЛЬНАЯ СЛУЖБА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29 декабря 2025 г. N 10/125086/25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РАССМОТРЕНИИ ОБРАЩЕНИЯ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Федеральная антимонопольная служба рассмотрела обращение и в рамках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законодательством Российской Федерации полномочия по государственному регулированию цен (тарифов) осуществляют органы исполнительной власти субъектов Российской Федерации, в адрес которых целесообразно обращаться по вопросам установления тарифов.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Расчет тарифов предусматривает их установление на уровне, обеспечивающем регулируемой организации получение планируемого объема выручки от оказания услуг по регулируемому виду деятельности в размере, необходимом для возмещения экономически обоснованных расходов, а также учета в структуре тарифов налогов и иных обязательных платежей в соответствии с законодательством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Орган регулирования при утверждении тарифов проводит экспертизу экономической обоснованности представленных предложений регулируемых организаций и учитывает их региональные и технологические особенности осуществления деятельности.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сами регулируемые организации приобретают товары, работы и услуги у предприятий, осуществляющих свою деятельность на конкурентных товарных рынках, где цены формируются по правилам конкурентного рынка.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Установление тарифов ниже экономически обоснованного уровня приводит к недофинансированию работ по реконструкции, модернизации и ремонту инженерных сетей, и, как следствие, к повышению износа коммунальной инфраструктуры.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целях сдерживания роста тарифов инфраструктурных отраслей Жилищным </w:t>
      </w:r>
      <w:hyperlink w:history="0" r:id="rId7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кодексом</w:t>
        </w:r>
      </w:hyperlink>
      <w:r>
        <w:rPr>
          <w:sz w:val="24"/>
        </w:rPr>
        <w:t xml:space="preserve"> Российской Федерации (далее - ЖК РФ) предусмотрено ограничение совокупного роста вносимой гражданами платы за коммунальные услуги путем установления на долгосрочный период Правительством Российской Федерации индексов изменения вносимой гражданами платы за коммунальные услуги в среднем по субъектам Российской Федерации (далее - индексы по субъектам Российской Федерации) и органом исполнительной власти субъекта Российской Федерации предельных (максимальных) индексов изменения размера платы граждан за коммунальные услуги по муниципальным образованиям субъектов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8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статье 157.1</w:t>
        </w:r>
      </w:hyperlink>
      <w:r>
        <w:rPr>
          <w:sz w:val="24"/>
        </w:rPr>
        <w:t xml:space="preserve"> ЖК РФ не допускается повышение размера вносимой гражданами платы за коммунальные услуги выше предельных (максимальных) индексов изменения размера вносимой гражданами платы за коммунальные услуги в муниципальных образованиях (далее - предельные индексы), утвержденных высшим должностным лицом субъекта Российской Федерации (руководителем высшего исполнительного органа государственной власти субъекта Российской Федерации).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этом, установленные ограничения роста платы граждан за коммунальные услуги относятся к совокупному платежу за все коммунальные услуги.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9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части 4 статьи 154</w:t>
        </w:r>
      </w:hyperlink>
      <w:r>
        <w:rPr>
          <w:sz w:val="24"/>
        </w:rPr>
        <w:t xml:space="preserve"> ЖК РФ плата за коммунальные услуги включает в себя плату за холодную воду, горячую воду, электрическую энергию, тепловую энергию, газ, бытовой газ в баллонах, твердое топливо при наличии печного отопления, плату за отведение сточных вод, обращение с твердыми коммунальными отходами.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0" w:tooltip="Постановление Правительства РФ от 30.04.2014 N 400 (ред. от 20.11.2025) &quot;О формировании индексов изменения размера платы граждан за коммунальные услуги в Российской Федерации&quot; (вместе с &quot;Основами формирования индексов изменения размера платы граждан за коммунальные услуги в Российской Федерации&quot;) {КонсультантПлюс}">
        <w:r>
          <w:rPr>
            <w:sz w:val="24"/>
            <w:color w:val="0000ff"/>
          </w:rPr>
          <w:t xml:space="preserve">Основами</w:t>
        </w:r>
      </w:hyperlink>
      <w:r>
        <w:rPr>
          <w:sz w:val="24"/>
        </w:rPr>
        <w:t xml:space="preserve"> формирования индексов изменения размера платы граждан за коммунальные услуги в Российской Федерации, утвержденными постановлением Правительства Российской Федерации от 30.04.2014 N 400 (далее - Основы формирования индексов), индексы изменения платы за коммунальные услуги формируются на основании показателей и параметров, определенных в прогнозе социально-экономического развития Российской Федерации на очередной финансовый год и плановый период, с учетом предложений глав регионов.</w:t>
      </w:r>
    </w:p>
    <w:p>
      <w:pPr>
        <w:pStyle w:val="0"/>
        <w:spacing w:before="240" w:lineRule="auto"/>
        <w:ind w:firstLine="540"/>
        <w:jc w:val="both"/>
      </w:pPr>
      <w:hyperlink w:history="0" r:id="rId11" w:tooltip="Постановление Правительства РФ от 30.04.2014 N 400 (ред. от 20.11.2025) &quot;О формировании индексов изменения размера платы граждан за коммунальные услуги в Российской Федерации&quot; (вместе с &quot;Основами формирования индексов изменения размера платы граждан за коммунальные услуги в Российской Федерации&quot;) {КонсультантПлюс}">
        <w:r>
          <w:rPr>
            <w:sz w:val="24"/>
            <w:color w:val="0000ff"/>
          </w:rPr>
          <w:t xml:space="preserve">Пунктом 12</w:t>
        </w:r>
      </w:hyperlink>
      <w:r>
        <w:rPr>
          <w:sz w:val="24"/>
        </w:rPr>
        <w:t xml:space="preserve"> Основ формирования индексов установлено, что индексы по субъектам Российской Федерации и отклонения от величины указанных индексов утверждаются Правительством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Из </w:t>
      </w:r>
      <w:hyperlink w:history="0" r:id="rId12" w:tooltip="&quot;Прогноз социально-экономического развития Российской Федерации на 2026 год и на плановый период 2027 и 2028 годов&quot; (разработан Минэкономразвития России) {КонсультантПлюс}">
        <w:r>
          <w:rPr>
            <w:sz w:val="24"/>
            <w:color w:val="0000ff"/>
          </w:rPr>
          <w:t xml:space="preserve">Прогноза</w:t>
        </w:r>
      </w:hyperlink>
      <w:r>
        <w:rPr>
          <w:sz w:val="24"/>
        </w:rPr>
        <w:t xml:space="preserve"> социально-экономического развития Российской Федерации на 2026 год и на плановый период 2027 и 2028 годов следует, что изменение совокупного платежа граждан за коммунальные услуги в среднем по Российской Федерации прогнозируется в 2026 году на уровне 9,9%.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3" w:tooltip="Распоряжение Правительства РФ от 25.11.2025 N 3413-р &lt;Об индексах изменения размера вносимой гражданами платы за коммунальные услуги в среднем по субъектам Российской Федерации на 2026 год и уточнении значений предельно допустимых отклонений по отдельным муниципальным образованиям от величины указанных индексов на 2026 год&gt; {КонсультантПлюс}">
        <w:r>
          <w:rPr>
            <w:sz w:val="24"/>
            <w:color w:val="0000ff"/>
          </w:rPr>
          <w:t xml:space="preserve">распоряжению</w:t>
        </w:r>
      </w:hyperlink>
      <w:r>
        <w:rPr>
          <w:sz w:val="24"/>
        </w:rPr>
        <w:t xml:space="preserve"> Правительства Российской Федерации от 25.11.2025 N 3413-р с 1 января 2026 года средний индекс изменения платы за коммунальные услуги установлен на уровне 1,7% для всех субъектов Российской Федерации, с 1 октября 2026 года - в размере, утвержденном для каждого субъекта. Также установлено предельно допустимое отклонение по отдельным муниципальным образованиям субъектов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4" w:tooltip="Постановление Правительства РФ от 30.04.2014 N 400 (ред. от 20.11.2025) &quot;О формировании индексов изменения размера платы граждан за коммунальные услуги в Российской Федерации&quot; (вместе с &quot;Основами формирования индексов изменения размера платы граждан за коммунальные услуги в Российской Федерации&quot;) {КонсультантПлюс}">
        <w:r>
          <w:rPr>
            <w:sz w:val="24"/>
            <w:color w:val="0000ff"/>
          </w:rPr>
          <w:t xml:space="preserve">пунктом 61</w:t>
        </w:r>
      </w:hyperlink>
      <w:r>
        <w:rPr>
          <w:sz w:val="24"/>
        </w:rPr>
        <w:t xml:space="preserve"> Основ формирования индексов органы исполнительной власти субъекта Российской Федерации осуществляют ежемесячный мониторинг соблюдения предельных индексов и государственный жилищный надзор.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случае, если фактическое увеличение размера платы за коммунальные услуги, вносимой гражданином, потребляющим коммунальные услуги при использовании жилого помещения и (или) жилого дома, превышает размер установленного для соответствующего муниципального образования предельного индекса, размер вносимой гражданином платы за коммунальные услуги должен быть изменен с учетом предельного индекса в течение 15 рабочих дней с даты выдачи органом исполнительной власти субъекта Российской Федерации, осуществляющим государственный жилищный надзор, обязательного для исполнения предписания об устранении выявленных нарушений.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ФАС России отмечает, что в указанном случае гражданину за счет средств бюджета субъекта Российской Федерации выплачивается компенсация по его заявлению в порядке, определяемом высшим должностным лицом субъекта Российской Федерации (высшим исполнительным органом государственной власти).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Указанный порядок должен предусматривать индивидуальный расчет с учетом фактического объема потребления коммунальных услуг (ресурсов) в сопоставимых условиях в пределах соответствующих нормативов потребления коммунальных услуг.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со </w:t>
      </w:r>
      <w:hyperlink w:history="0" r:id="rId15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статьями 20</w:t>
        </w:r>
      </w:hyperlink>
      <w:r>
        <w:rPr>
          <w:sz w:val="24"/>
        </w:rPr>
        <w:t xml:space="preserve"> и </w:t>
      </w:r>
      <w:hyperlink w:history="0" r:id="rId16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196</w:t>
        </w:r>
      </w:hyperlink>
      <w:r>
        <w:rPr>
          <w:sz w:val="24"/>
        </w:rPr>
        <w:t xml:space="preserve"> ЖК РФ деятельность, направленную на соблюдение гражданами, юридическими лицами, индивидуальными предпринимателями обязательных требований и правил, установленных в соответствии с жилищным законодательством, законодательством об энергосбережении и о повышении энергетической эффективности в отношении жилищного фонда, за исключением муниципального жилищного фонда, в том числе требований к созданию и деятельности юридических лиц, индивидуальных предпринимателей, осуществляющих управление многоквартирными домами, оказывающих услуги и (или) выполняющих работы по содержанию и ремонту общего имущества в многоквартирных домах, к предоставлению коммунальных услуг собственникам и пользователям помещений в многоквартирных домах и жилых домах, правил предоставления, приостановки и ограничения предоставления коммунальных услуг собственникам и пользователям помещений в многоквартирных домах и жилых домов, осуществляют органы государственного жилищного надзора посредством организации и проведения контрольных (надзорных) мероприятий в отношении указанных лиц, принятия предусмотренных законодательством Российской Федерации мер по пресечению и (или) устранению выявленных нарушений.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Исходя из вышеизложенного, для проведения таких проверок необходимо обращаться с соответствующим заявлением и приложением копий документов, свидетельствующих о признаках нарушений (нарушениях), в адрес органа жилищного надзора соответствующего субъекта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ФАС России сообщает, что в соответствии с </w:t>
      </w:r>
      <w:hyperlink w:history="0" r:id="rId17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частью 1 статьи 160</w:t>
        </w:r>
      </w:hyperlink>
      <w:r>
        <w:rPr>
          <w:sz w:val="24"/>
        </w:rPr>
        <w:t xml:space="preserve"> ЖК РФ отдельным категориям граждан в порядке и на условиях, которые установлены федеральными законами, законами субъектов Российской Федерации и нормативными правовыми актами органов местного самоуправления, могут предоставляться компенсации расходов на оплату жилых помещений и коммунальных услуг за счет средств соответствующих бюджетов. Предоставление компенсации расходов на оплату жилого помещения и коммунальных услуг отдельным категориям граждан осуществляется в соответствии с единым </w:t>
      </w:r>
      <w:hyperlink w:history="0" r:id="rId18" w:tooltip="Постановление Правительства РФ от 27.05.2023 N 835 (ред. от 01.07.2024) &quot;Об утверждении единого стандарта предоставления компенсации расходов на оплату жилого помещения и коммунальных услуг отдельным категориям граждан&quot; (с изм. и доп., вступ. в силу с 01.11.2024) {КонсультантПлюс}">
        <w:r>
          <w:rPr>
            <w:sz w:val="24"/>
            <w:color w:val="0000ff"/>
          </w:rPr>
          <w:t xml:space="preserve">стандартом</w:t>
        </w:r>
      </w:hyperlink>
      <w:r>
        <w:rPr>
          <w:sz w:val="24"/>
        </w:rPr>
        <w:t xml:space="preserve">, утвержденным постановлением Правительства Российской Федерации от 27.05.2023 N 835.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Отдельно следует отметить, что в Российской Федерации также предусмотрены дополнительные меры социальной поддержки гражданам.</w:t>
      </w:r>
    </w:p>
    <w:p>
      <w:pPr>
        <w:pStyle w:val="0"/>
        <w:spacing w:before="240" w:lineRule="auto"/>
        <w:ind w:firstLine="540"/>
        <w:jc w:val="both"/>
      </w:pPr>
      <w:hyperlink w:history="0" r:id="rId19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Статьей 159</w:t>
        </w:r>
      </w:hyperlink>
      <w:r>
        <w:rPr>
          <w:sz w:val="24"/>
        </w:rPr>
        <w:t xml:space="preserve"> ЖК РФ предусмотрено предоставление гражданам субсидий на оплату жилого помещения и коммунальных услуг в случае, если их расходы на оплату жилого помещения и коммунальных услуг, рассчитанные исходя из размера регионального стандарта нормативной площади жилого помещения, используемой для расчета субсидий, и размера регионального стандарта стоимости жилищно-коммунальных услуг, устанавливаемого по правилам </w:t>
      </w:r>
      <w:hyperlink w:history="0" r:id="rId20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части 6</w:t>
        </w:r>
      </w:hyperlink>
      <w:r>
        <w:rPr>
          <w:sz w:val="24"/>
        </w:rPr>
        <w:t xml:space="preserve"> указанной статьи, превышают величину, соответствующую максимально допустимой доле расходов граждан на оплату жилого помещения и коммунальных услуг в совокупном доходе семьи.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Порядок определения размера субсидий и порядок их предоставления, перечень прилагаемых к заявлению документов, условия приостановки и прекращения предоставления субсидий, порядок определения состава семьи получателя субсидии и исчисления совокупного дохода такой семьи, а также особенности предоставления субсидий отдельным категориям граждан устанавливаются Правительством Российской Федерации в рамках </w:t>
      </w:r>
      <w:hyperlink w:history="0" r:id="rId21" w:tooltip="Постановление Правительства РФ от 14.12.2005 N 761 (ред. от 22.06.2024) &quot;О предоставлении субсидий на оплату жилого помещения и коммунальных услуг&quot; {КонсультантПлюс}">
        <w:r>
          <w:rPr>
            <w:sz w:val="24"/>
            <w:color w:val="0000ff"/>
          </w:rPr>
          <w:t xml:space="preserve">Правил</w:t>
        </w:r>
      </w:hyperlink>
      <w:r>
        <w:rPr>
          <w:sz w:val="24"/>
        </w:rPr>
        <w:t xml:space="preserve"> предоставления субсидий на оплату жилого помещения и коммунальных услуг, утвержденных постановлением Правительства Российской Федерации от 14.12.2005 N 761.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Исполняющий обязанности начальника</w:t>
      </w:r>
    </w:p>
    <w:p>
      <w:pPr>
        <w:pStyle w:val="0"/>
        <w:jc w:val="right"/>
      </w:pPr>
      <w:r>
        <w:rPr>
          <w:sz w:val="24"/>
        </w:rPr>
        <w:t xml:space="preserve">Управления регулирования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С.А.ОГАНИСЯН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ФАС России от 29.12.2025 N 10/125086/25</w:t>
            <w:br/>
            <w:t>"О рассмотрении обращения"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ФАС России от 29.12.2025 N 10/125086/25 "О рассмотрении обращения"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23355&amp;date=26.02.2026&amp;demo=2" TargetMode = "External"/><Relationship Id="rId8" Type="http://schemas.openxmlformats.org/officeDocument/2006/relationships/hyperlink" Target="https://login.consultant.ru/link/?req=doc&amp;base=LAW&amp;n=523355&amp;date=26.02.2026&amp;dst=101197&amp;field=134&amp;demo=2" TargetMode = "External"/><Relationship Id="rId9" Type="http://schemas.openxmlformats.org/officeDocument/2006/relationships/hyperlink" Target="https://login.consultant.ru/link/?req=doc&amp;base=LAW&amp;n=523355&amp;date=26.02.2026&amp;dst=628&amp;field=134&amp;demo=2" TargetMode = "External"/><Relationship Id="rId10" Type="http://schemas.openxmlformats.org/officeDocument/2006/relationships/hyperlink" Target="https://login.consultant.ru/link/?req=doc&amp;base=LAW&amp;n=519500&amp;date=26.02.2026&amp;dst=100011&amp;field=134&amp;demo=2" TargetMode = "External"/><Relationship Id="rId11" Type="http://schemas.openxmlformats.org/officeDocument/2006/relationships/hyperlink" Target="https://login.consultant.ru/link/?req=doc&amp;base=LAW&amp;n=519500&amp;date=26.02.2026&amp;dst=93&amp;field=134&amp;demo=2" TargetMode = "External"/><Relationship Id="rId12" Type="http://schemas.openxmlformats.org/officeDocument/2006/relationships/hyperlink" Target="https://login.consultant.ru/link/?req=doc&amp;base=LAW&amp;n=515364&amp;date=26.02.2026&amp;demo=2" TargetMode = "External"/><Relationship Id="rId13" Type="http://schemas.openxmlformats.org/officeDocument/2006/relationships/hyperlink" Target="https://login.consultant.ru/link/?req=doc&amp;base=LAW&amp;n=519688&amp;date=26.02.2026&amp;demo=2" TargetMode = "External"/><Relationship Id="rId14" Type="http://schemas.openxmlformats.org/officeDocument/2006/relationships/hyperlink" Target="https://login.consultant.ru/link/?req=doc&amp;base=LAW&amp;n=519500&amp;date=26.02.2026&amp;dst=155&amp;field=134&amp;demo=2" TargetMode = "External"/><Relationship Id="rId15" Type="http://schemas.openxmlformats.org/officeDocument/2006/relationships/hyperlink" Target="https://login.consultant.ru/link/?req=doc&amp;base=LAW&amp;n=523355&amp;date=26.02.2026&amp;dst=1002&amp;field=134&amp;demo=2" TargetMode = "External"/><Relationship Id="rId16" Type="http://schemas.openxmlformats.org/officeDocument/2006/relationships/hyperlink" Target="https://login.consultant.ru/link/?req=doc&amp;base=LAW&amp;n=523355&amp;date=26.02.2026&amp;dst=1074&amp;field=134&amp;demo=2" TargetMode = "External"/><Relationship Id="rId17" Type="http://schemas.openxmlformats.org/officeDocument/2006/relationships/hyperlink" Target="https://login.consultant.ru/link/?req=doc&amp;base=LAW&amp;n=523355&amp;date=26.02.2026&amp;dst=100967&amp;field=134&amp;demo=2" TargetMode = "External"/><Relationship Id="rId18" Type="http://schemas.openxmlformats.org/officeDocument/2006/relationships/hyperlink" Target="https://login.consultant.ru/link/?req=doc&amp;base=LAW&amp;n=480343&amp;date=26.02.2026&amp;dst=100009&amp;field=134&amp;demo=2" TargetMode = "External"/><Relationship Id="rId19" Type="http://schemas.openxmlformats.org/officeDocument/2006/relationships/hyperlink" Target="https://login.consultant.ru/link/?req=doc&amp;base=LAW&amp;n=523355&amp;date=26.02.2026&amp;dst=100946&amp;field=134&amp;demo=2" TargetMode = "External"/><Relationship Id="rId20" Type="http://schemas.openxmlformats.org/officeDocument/2006/relationships/hyperlink" Target="https://login.consultant.ru/link/?req=doc&amp;base=LAW&amp;n=523355&amp;date=26.02.2026&amp;dst=101507&amp;field=134&amp;demo=2" TargetMode = "External"/><Relationship Id="rId21" Type="http://schemas.openxmlformats.org/officeDocument/2006/relationships/hyperlink" Target="https://login.consultant.ru/link/?req=doc&amp;base=LAW&amp;n=479460&amp;date=26.02.2026&amp;dst=100016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ФАС России от 29.12.2025 N 10/125086/25
"О рассмотрении обращения"</dc:title>
  <dcterms:created xsi:type="dcterms:W3CDTF">2026-02-26T14:34:15Z</dcterms:created>
</cp:coreProperties>
</file>