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20 февраля 2026 г. N 3849-ОГ/00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Минстроя России рассмотрел обращение и в пределах компетенции сообщает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В соответствии с действующим законодательством порядок начисления платы за жилое помещение и коммунальные услуги регламентируется Жилищным </w:t>
      </w:r>
      <w:hyperlink w:history="0" r:id="rId7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кодексом</w:t>
        </w:r>
      </w:hyperlink>
      <w:r>
        <w:rPr>
          <w:sz w:val="24"/>
        </w:rPr>
        <w:t xml:space="preserve"> Российской Федерации (далее - ЖК РФ).</w:t>
      </w:r>
    </w:p>
    <w:p>
      <w:pPr>
        <w:pStyle w:val="0"/>
        <w:spacing w:before="240" w:lineRule="auto"/>
        <w:ind w:firstLine="540"/>
        <w:jc w:val="both"/>
      </w:pPr>
      <w:hyperlink w:history="0" r:id="rId8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Частью 3 статьи 30</w:t>
        </w:r>
      </w:hyperlink>
      <w:r>
        <w:rPr>
          <w:sz w:val="24"/>
        </w:rPr>
        <w:t xml:space="preserve"> ЖК РФ установлено, что собственник жилого помещения несет бремя содержания данного помещения и, если данное помещение является квартирой, общего имущества собственников помещений в соответствующем многоквартирном доме, а собственник комнаты в коммунальной квартире несет также бремя содержания общего имущества собственников комнат в такой квартире, если иное не предусмотрено федеральным законом или договором.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9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пункту 5 части 2 статьи 153</w:t>
        </w:r>
      </w:hyperlink>
      <w:r>
        <w:rPr>
          <w:sz w:val="24"/>
        </w:rPr>
        <w:t xml:space="preserve"> ЖК РФ обязанность по внесению платы за жилое помещение и коммунальные услуги возникает у собственника помещения с момента возникновения права собственности на такое помещение.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Учитывая срок уплаты коммунальных платежей, предусмотренный </w:t>
      </w:r>
      <w:hyperlink w:history="0" r:id="rId10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статьей 155</w:t>
        </w:r>
      </w:hyperlink>
      <w:r>
        <w:rPr>
          <w:sz w:val="24"/>
        </w:rPr>
        <w:t xml:space="preserve"> ЖК РФ, задолженность за предоставленные коммунальные услуги возникает с 11 числа месяца, последующего за периодом оплаты. Нормами действующего законодательства Российской Федерации предусмотрены меры ответственности за несвоевременное внесение платы за жилое помещение и коммунальные услуги, а также взносов на капитальный ремонт.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общему правилу, установленному </w:t>
      </w:r>
      <w:hyperlink w:history="0" r:id="rId11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частью 14 статьи 155</w:t>
        </w:r>
      </w:hyperlink>
      <w:r>
        <w:rPr>
          <w:sz w:val="24"/>
        </w:rPr>
        <w:t xml:space="preserve"> ЖК РФ, лица, несвоевременно и (или) не полностью внесшие плату за жилое помещение и коммунальные услуги, обязаны уплатить кредитору пени в размере 1/300 ставки рефинансирования Центрального банка Российской Федерации, действующей на день фактической оплаты, от не выплаченной в срок суммы за каждый день просрочки начиная с тридцать первого дня, следующего за днем наступления установленного срока оплаты, по день фактической оплаты, произведенной в течение девяноста календарных дней со дня наступления установленного срока оплаты, либо до истечения девяноста календарных дней после дня наступления установленного срока оплаты, если в девяностодневный срок оплата не произведена. Начиная с девяносто первого дня, следующего за днем наступления установленного срока оплаты, по день фактической оплаты пени уплачиваются в размере 1/130 ставки рефинансирования Центрального банка Российской Федерации, действующей на день фактической оплаты, от не выплаченной в срок суммы за каждый день просрочки. Увеличение установленных настоящей частью размеров пеней не допускается.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Соответственно, размер пеней зависит от периода просрочки.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пени, предусмотренные </w:t>
      </w:r>
      <w:hyperlink w:history="0" r:id="rId12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статьей 155</w:t>
        </w:r>
      </w:hyperlink>
      <w:r>
        <w:rPr>
          <w:sz w:val="24"/>
        </w:rPr>
        <w:t xml:space="preserve"> ЖК РФ, являются мерой гражданско-правовой ответственности.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этом с 27.02.2022 до 01.01.2027 начисление и уплата пеней осуществляются исходя из минимального значения ключевой ставки (ставки рефинансирования) Банка России из следующих значений: ключевая ставка (ставка рефинансирования) Банка России, действовавшая по состоянию на 27.02.2022 (составляла 9,5%), и ключевая ставка (ставка рефинансирования) Банка России, действующая на день фактической оплаты (</w:t>
      </w:r>
      <w:hyperlink w:history="0" r:id="rId13" w:tooltip="Постановление Правительства РФ от 18.03.2025 N 329 &quot;О некоторых особенностях регулирования жилищных отношений в 2025 - 2026 годах&quot;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18.03.2025 N 329 "О некоторых особенностях регулирования жилищных отношений в 2025 - 2026 годах", </w:t>
      </w:r>
      <w:hyperlink w:history="0" r:id="rId14" w:tooltip="Постановление Правительства РФ от 26.03.2022 N 474 (ред. от 29.12.2023) &quot;О некоторых особенностях регулирования жилищных отношений в 2022 - 2024 годах&quot;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26.03.2022 N 474 "О некоторых особенностях регулирования жилищных отношений в 2022 году").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Дополнительно сообщаем о том, что меры социальной поддержки по оплате жилого помещения и коммунальных услуг для отдельных категорий граждан закреплены в </w:t>
      </w:r>
      <w:hyperlink w:history="0" r:id="rId15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статьях 159</w:t>
        </w:r>
      </w:hyperlink>
      <w:r>
        <w:rPr>
          <w:sz w:val="24"/>
        </w:rPr>
        <w:t xml:space="preserve"> и </w:t>
      </w:r>
      <w:hyperlink w:history="0" r:id="rId16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160</w:t>
        </w:r>
      </w:hyperlink>
      <w:r>
        <w:rPr>
          <w:sz w:val="24"/>
        </w:rPr>
        <w:t xml:space="preserve"> Жилищного кодекса Российской Федерации (далее - ЖК РФ).</w:t>
      </w:r>
    </w:p>
    <w:p>
      <w:pPr>
        <w:pStyle w:val="0"/>
        <w:spacing w:before="240" w:lineRule="auto"/>
        <w:ind w:firstLine="540"/>
        <w:jc w:val="both"/>
      </w:pPr>
      <w:hyperlink w:history="0" r:id="rId17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Частью 1 статьи 160</w:t>
        </w:r>
      </w:hyperlink>
      <w:r>
        <w:rPr>
          <w:sz w:val="24"/>
        </w:rPr>
        <w:t xml:space="preserve"> ЖК РФ установлено, что отдельным категориям граждан в порядке и на условиях, которые установлены федеральными законами, законами субъектов Российской Федерации и нормативными правовыми актами органов местного самоуправления, могут предоставляться компенсации расходов на оплату жилых помещений и коммунальных услуг за счет средств соответствующих бюджетов.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Помимо предоставления компенсации на оплату жилищно-коммунальных услуг </w:t>
      </w:r>
      <w:hyperlink w:history="0" r:id="rId18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частью 1 статьи 159</w:t>
        </w:r>
      </w:hyperlink>
      <w:r>
        <w:rPr>
          <w:sz w:val="24"/>
        </w:rPr>
        <w:t xml:space="preserve"> ЖК РФ предусмотрено предоставление субсидий на оплату жилищно-коммунальных услуг гражданам, расходы которых на оплату жилого помещения и коммунальных услуг, рассчитанные исходя из размера региональных стандартов нормативной площади жилого помещения, превышают величину, соответствующую максимально допустимой доле расходов граждан на оплату жилого помещения и коммунальных услуг в совокупном доходе семьи.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В соответствии с </w:t>
      </w:r>
      <w:hyperlink w:history="0" r:id="rId19" w:tooltip="Постановление Правительства РФ от 30.06.2004 N 331 (ред. от 09.06.2025) &quot;Об утверждении Положения о Федеральной антимонопольной службе&quot; {КонсультантПлюс}">
        <w:r>
          <w:rPr>
            <w:sz w:val="24"/>
            <w:color w:val="0000ff"/>
          </w:rPr>
          <w:t xml:space="preserve">пунктом 1</w:t>
        </w:r>
      </w:hyperlink>
      <w:r>
        <w:rPr>
          <w:sz w:val="24"/>
        </w:rPr>
        <w:t xml:space="preserve"> Положения о Федеральной антимонопольной службе, утвержденной постановлением Правительства Российской Федерации от 30.06.2004 N 331, ФАС России является уполномоченным федеральным органом исполнительной власти, осуществляющим функции по принятию нормативных правовых актов и контролю за соблюдением антимонопольного законодательства, законодательства в сфере деятельности субъектов естественных монополий, в сфере государственного регулирования цен (тарифов) на товары (услуги), рекламы, контролю за осуществлением иностранных инвестиций в хозяйственные общества, имеющие стратегическое значение для обеспечения обороны страны и безопасности государства, контролю (надзору) в сфере государственного оборонного заказа, в сфере закупок товаров, работ, услуг для обеспечения государственных и муниципальных нужд и в сфере закупок товаров, работ, услуг отдельными видами юридических лиц, а также по согласованию применения закрытых способов определения поставщиков (подрядчиков, исполнителей).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вопросы, касающиеся государственного регулирования цен (тарифов), находятся в компетенции ФАС России.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Вместе с тем, необходимо отметить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 основании Федерального </w:t>
      </w:r>
      <w:hyperlink w:history="0" r:id="rId20" w:tooltip="Федеральный закон от 21.12.2021 N 414-ФЗ (ред. от 28.12.2025) &quot;Об общих принципах организации публичной власти в субъектах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21.12.2021 N 414-ФЗ "Об общих принципах организации публичной власти в субъектах Российской Федерации" полномочия по государственному регулированию цен (тарифов) ресурсоснабжающих организаций осуществляют исполнительные органы субъектов Российской Федерации, которые при утверждении тарифов проводят экспертизу экономической обоснованности представленных предложений регулируемых организаций и учитывают региональные и технологические особенности осуществления их деятельности.</w:t>
      </w:r>
    </w:p>
    <w:p>
      <w:pPr>
        <w:pStyle w:val="0"/>
        <w:spacing w:before="240" w:lineRule="auto"/>
        <w:ind w:firstLine="540"/>
        <w:jc w:val="both"/>
      </w:pPr>
      <w:hyperlink w:history="0" r:id="rId21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Статьей 157.1</w:t>
        </w:r>
      </w:hyperlink>
      <w:r>
        <w:rPr>
          <w:sz w:val="24"/>
        </w:rPr>
        <w:t xml:space="preserve"> ЖК РФ установлено требование о недопустимости изменения платы граждан за коммунальные услуги выше предельных (максимальных) индексов изменения размера вносимой гражданами платы за коммунальные услуги в муниципальных образованиях (далее - предельные индексы), утвержденных высшим должностным лицом субъекта Российской Федерации. При этом, установленные ограничения относятся к совокупному платежу за все коммунальные услуги.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22" w:tooltip="Постановление Правительства РФ от 30.04.2014 N 400 (ред. от 20.11.2025) &quot;О формировании индексов изменения размера платы граждан за коммунальные услуги в Российской Федерации&quot; (вместе с &quot;Основами формирования индексов изменения размера платы граждан за коммунальные услуги в Российской Федерации&quot;) {КонсультантПлюс}">
        <w:r>
          <w:rPr>
            <w:sz w:val="24"/>
            <w:color w:val="0000ff"/>
          </w:rPr>
          <w:t xml:space="preserve">пунктом 61</w:t>
        </w:r>
      </w:hyperlink>
      <w:r>
        <w:rPr>
          <w:sz w:val="24"/>
        </w:rPr>
        <w:t xml:space="preserve"> Основ формирования индексов исполнительные органы субъекта Российской Федерации осуществляют ежемесячный мониторинг соблюдения предельных индексов и государственный жилищный надзор.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 основании рассмотрения обращения и анализа действующего законодательства следует вывод о том, что отмена начисления пени за задолженность по оплате жилищно-коммунальных услуг нецелесообразна, поскольку существующий механизм является законным способом обеспечения своевременной оплаты услуг, необходимым для бесперебойного функционирования ЖКХ, защиты интересов добросовестных плательщиков.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Информируем о том, что надзор за соблюдением юридическими лицами, индивидуальными предпринимателями и гражданами обязательных требований жилищного законодательства осуществляет орган государственного жилищного надзора в соответствии со </w:t>
      </w:r>
      <w:hyperlink w:history="0" r:id="rId23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статьей 20</w:t>
        </w:r>
      </w:hyperlink>
      <w:r>
        <w:rPr>
          <w:sz w:val="24"/>
        </w:rPr>
        <w:t xml:space="preserve"> ЖК РФ. В этой связи по фактам нарушения требований действующего законодательства потребителям услуг рекомендуем обращаться в уполномоченные органы исполнительной власти субъектов Российской Федерации (органы государственного жилищного надзора).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Дополнительно сообщаем о том, что Минстроем России ведется постоянная работа по мониторингу правоприменения и актуальным проблемам, возникающим в связи с реализацией законодательства в сфере жилищно-коммунального хозяйства. Кроме того, Минстрой России внимательно анализирует предложения по его совершенствованию, имеющиеся у различных организаций и граждан.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Обращаем внимание, что в соответствии с </w:t>
      </w:r>
      <w:hyperlink w:history="0" r:id="rId24" w:tooltip="Постановление Правительства РФ от 13.08.1997 N 1009 (ред. от 15.11.2024) &quot;Об утверждении Правил подготовки нормативных правовых актов федеральных органов исполнительной власти и их государственной регист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подготовки нормативных правовых актов федеральных органов исполнительной власти и их государственной регистрации, утвержденных Постановлением Правительства Российской Федерации от 13.08.1997 N 1009, письма федеральных органов исполнительной власти не являются нормативными правовыми актами.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являются позицией Минстроя России,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Д.Ю.НИФОНТОВ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20.02.2026 N 3849-ОГ/00</w:t>
            <w:br/>
            <w:t>&lt;О начислении пеней за задолженность по оплате жилищно-коммунальных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26.02.2026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20.02.2026 N 3849-ОГ/00 &lt;О начислении пеней за задолженность по оплате жилищно-коммунальных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26.02.2026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23355&amp;date=26.02.2026&amp;demo=2" TargetMode = "External"/><Relationship Id="rId8" Type="http://schemas.openxmlformats.org/officeDocument/2006/relationships/hyperlink" Target="https://login.consultant.ru/link/?req=doc&amp;base=LAW&amp;n=523355&amp;date=26.02.2026&amp;dst=100237&amp;field=134&amp;demo=2" TargetMode = "External"/><Relationship Id="rId9" Type="http://schemas.openxmlformats.org/officeDocument/2006/relationships/hyperlink" Target="https://login.consultant.ru/link/?req=doc&amp;base=LAW&amp;n=523355&amp;date=26.02.2026&amp;dst=101486&amp;field=134&amp;demo=2" TargetMode = "External"/><Relationship Id="rId10" Type="http://schemas.openxmlformats.org/officeDocument/2006/relationships/hyperlink" Target="https://login.consultant.ru/link/?req=doc&amp;base=LAW&amp;n=523355&amp;date=26.02.2026&amp;dst=101096&amp;field=134&amp;demo=2" TargetMode = "External"/><Relationship Id="rId11" Type="http://schemas.openxmlformats.org/officeDocument/2006/relationships/hyperlink" Target="https://login.consultant.ru/link/?req=doc&amp;base=LAW&amp;n=523355&amp;date=26.02.2026&amp;dst=614&amp;field=134&amp;demo=2" TargetMode = "External"/><Relationship Id="rId12" Type="http://schemas.openxmlformats.org/officeDocument/2006/relationships/hyperlink" Target="https://login.consultant.ru/link/?req=doc&amp;base=LAW&amp;n=523355&amp;date=26.02.2026&amp;dst=100910&amp;field=134&amp;demo=2" TargetMode = "External"/><Relationship Id="rId13" Type="http://schemas.openxmlformats.org/officeDocument/2006/relationships/hyperlink" Target="https://login.consultant.ru/link/?req=doc&amp;base=LAW&amp;n=501136&amp;date=26.02.2026&amp;demo=2" TargetMode = "External"/><Relationship Id="rId14" Type="http://schemas.openxmlformats.org/officeDocument/2006/relationships/hyperlink" Target="https://login.consultant.ru/link/?req=doc&amp;base=LAW&amp;n=466655&amp;date=26.02.2026&amp;demo=2" TargetMode = "External"/><Relationship Id="rId15" Type="http://schemas.openxmlformats.org/officeDocument/2006/relationships/hyperlink" Target="https://login.consultant.ru/link/?req=doc&amp;base=LAW&amp;n=523355&amp;date=26.02.2026&amp;dst=100946&amp;field=134&amp;demo=2" TargetMode = "External"/><Relationship Id="rId16" Type="http://schemas.openxmlformats.org/officeDocument/2006/relationships/hyperlink" Target="https://login.consultant.ru/link/?req=doc&amp;base=LAW&amp;n=523355&amp;date=26.02.2026&amp;dst=100966&amp;field=134&amp;demo=2" TargetMode = "External"/><Relationship Id="rId17" Type="http://schemas.openxmlformats.org/officeDocument/2006/relationships/hyperlink" Target="https://login.consultant.ru/link/?req=doc&amp;base=LAW&amp;n=523355&amp;date=26.02.2026&amp;dst=100967&amp;field=134&amp;demo=2" TargetMode = "External"/><Relationship Id="rId18" Type="http://schemas.openxmlformats.org/officeDocument/2006/relationships/hyperlink" Target="https://login.consultant.ru/link/?req=doc&amp;base=LAW&amp;n=523355&amp;date=26.02.2026&amp;dst=100947&amp;field=134&amp;demo=2" TargetMode = "External"/><Relationship Id="rId19" Type="http://schemas.openxmlformats.org/officeDocument/2006/relationships/hyperlink" Target="https://login.consultant.ru/link/?req=doc&amp;base=LAW&amp;n=507477&amp;date=26.02.2026&amp;dst=100300&amp;field=134&amp;demo=2" TargetMode = "External"/><Relationship Id="rId20" Type="http://schemas.openxmlformats.org/officeDocument/2006/relationships/hyperlink" Target="https://login.consultant.ru/link/?req=doc&amp;base=LAW&amp;n=520117&amp;date=26.02.2026&amp;demo=2" TargetMode = "External"/><Relationship Id="rId21" Type="http://schemas.openxmlformats.org/officeDocument/2006/relationships/hyperlink" Target="https://login.consultant.ru/link/?req=doc&amp;base=LAW&amp;n=523355&amp;date=26.02.2026&amp;dst=101197&amp;field=134&amp;demo=2" TargetMode = "External"/><Relationship Id="rId22" Type="http://schemas.openxmlformats.org/officeDocument/2006/relationships/hyperlink" Target="https://login.consultant.ru/link/?req=doc&amp;base=LAW&amp;n=519500&amp;date=26.02.2026&amp;dst=155&amp;field=134&amp;demo=2" TargetMode = "External"/><Relationship Id="rId23" Type="http://schemas.openxmlformats.org/officeDocument/2006/relationships/hyperlink" Target="https://login.consultant.ru/link/?req=doc&amp;base=LAW&amp;n=523355&amp;date=26.02.2026&amp;dst=1002&amp;field=134&amp;demo=2" TargetMode = "External"/><Relationship Id="rId24" Type="http://schemas.openxmlformats.org/officeDocument/2006/relationships/hyperlink" Target="https://login.consultant.ru/link/?req=doc&amp;base=LAW&amp;n=490536&amp;date=26.02.2026&amp;dst=157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20.02.2026 N 3849-ОГ/00
&lt;О начислении пеней за задолженность по оплате жилищно-коммунальных услуг и предельных индексах изменения платы за коммунальные услуги&gt;</dc:title>
  <dcterms:created xsi:type="dcterms:W3CDTF">2026-02-26T14:37:49Z</dcterms:created>
</cp:coreProperties>
</file>