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ФАС России от 18.02.2026 N 98/26</w:t>
              <w:br/>
              <w:t xml:space="preserve">"Об утверждении Методических указаний по расчету размера платы за предусмотренные утвержденным Правительством Российской Федерации минимальным перечнем услуг (работ) по техническому обслуживанию и ремонту внутридомового газового оборудования в многоквартирном доме, внутриквартирного газового оборудования в многоквартирном доме и внутридомового газового оборудования в жилом доме техническое обслуживание, установку (за исключением случаев, предусмотренных правилами технологического присоединения газоиспользующего оборудования к газораспределительным сетям) и замену внутридомового и внутриквартирного газового оборудования"</w:t>
              <w:br/>
              <w:t xml:space="preserve">(Зарегистрировано в Минюсте России 27.02.2026 N 85503)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02.03.2026</w:t>
            </w:r>
            <w:r>
              <w:rPr>
                <w:sz w:val="28"/>
              </w:rPr>
              <w:br/>
              <w:t xml:space="preserve"> </w:t>
            </w:r>
          </w:p>
        </w:tc>
      </w:tr>
    </w:tbl>
    <w:p>
      <w:pPr>
        <w:sectPr>
          <w:pgSz w:w="11906" w:h="16838"/>
          <w:pgMar w:top="841" w:right="595" w:bottom="841" w:left="595" w:header="0" w:footer="0" w:gutter="0"/>
          <w:titlePg/>
        </w:sectPr>
      </w:pPr>
    </w:p>
    <w:p>
      <w:pPr>
        <w:pStyle w:val="0"/>
        <w:outlineLvl w:val="0"/>
      </w:pPr>
      <w:r>
        <w:rPr>
          <w:sz w:val="24"/>
        </w:rPr>
      </w:r>
    </w:p>
    <w:p>
      <w:pPr>
        <w:pStyle w:val="0"/>
        <w:outlineLvl w:val="0"/>
      </w:pPr>
      <w:r>
        <w:rPr>
          <w:sz w:val="24"/>
        </w:rPr>
        <w:t xml:space="preserve">Зарегистрировано в Минюсте России 27 февраля 2026 г. N 85503</w:t>
      </w:r>
    </w:p>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ФЕДЕРАЛЬНАЯ АНТИМОНОПОЛЬНАЯ СЛУЖБА</w:t>
      </w:r>
    </w:p>
    <w:p>
      <w:pPr>
        <w:pStyle w:val="2"/>
        <w:jc w:val="center"/>
      </w:pPr>
      <w:r>
        <w:rPr>
          <w:sz w:val="24"/>
        </w:rPr>
      </w:r>
    </w:p>
    <w:p>
      <w:pPr>
        <w:pStyle w:val="2"/>
        <w:jc w:val="center"/>
      </w:pPr>
      <w:r>
        <w:rPr>
          <w:sz w:val="24"/>
        </w:rPr>
        <w:t xml:space="preserve">ПРИКАЗ</w:t>
      </w:r>
    </w:p>
    <w:p>
      <w:pPr>
        <w:pStyle w:val="2"/>
        <w:jc w:val="center"/>
      </w:pPr>
      <w:r>
        <w:rPr>
          <w:sz w:val="24"/>
        </w:rPr>
        <w:t xml:space="preserve">от 18 февраля 2026 г. N 98/26</w:t>
      </w:r>
    </w:p>
    <w:p>
      <w:pPr>
        <w:pStyle w:val="2"/>
        <w:jc w:val="center"/>
      </w:pPr>
      <w:r>
        <w:rPr>
          <w:sz w:val="24"/>
        </w:rPr>
      </w:r>
    </w:p>
    <w:p>
      <w:pPr>
        <w:pStyle w:val="2"/>
        <w:jc w:val="center"/>
      </w:pPr>
      <w:r>
        <w:rPr>
          <w:sz w:val="24"/>
        </w:rPr>
        <w:t xml:space="preserve">ОБ УТВЕРЖДЕНИИ МЕТОДИЧЕСКИХ УКАЗАНИЙ</w:t>
      </w:r>
    </w:p>
    <w:p>
      <w:pPr>
        <w:pStyle w:val="2"/>
        <w:jc w:val="center"/>
      </w:pPr>
      <w:r>
        <w:rPr>
          <w:sz w:val="24"/>
        </w:rPr>
        <w:t xml:space="preserve">ПО РАСЧЕТУ РАЗМЕРА ПЛАТЫ ЗА ПРЕДУСМОТРЕННЫЕ УТВЕРЖДЕННЫМ</w:t>
      </w:r>
    </w:p>
    <w:p>
      <w:pPr>
        <w:pStyle w:val="2"/>
        <w:jc w:val="center"/>
      </w:pPr>
      <w:r>
        <w:rPr>
          <w:sz w:val="24"/>
        </w:rPr>
        <w:t xml:space="preserve">ПРАВИТЕЛЬСТВОМ РОССИЙСКОЙ ФЕДЕРАЦИИ МИНИМАЛЬНЫМ ПЕРЕЧНЕМ</w:t>
      </w:r>
    </w:p>
    <w:p>
      <w:pPr>
        <w:pStyle w:val="2"/>
        <w:jc w:val="center"/>
      </w:pPr>
      <w:r>
        <w:rPr>
          <w:sz w:val="24"/>
        </w:rPr>
        <w:t xml:space="preserve">УСЛУГ (РАБОТ) ПО ТЕХНИЧЕСКОМУ ОБСЛУЖИВАНИЮ И РЕМОНТУ</w:t>
      </w:r>
    </w:p>
    <w:p>
      <w:pPr>
        <w:pStyle w:val="2"/>
        <w:jc w:val="center"/>
      </w:pPr>
      <w:r>
        <w:rPr>
          <w:sz w:val="24"/>
        </w:rPr>
        <w:t xml:space="preserve">ВНУТРИДОМОВОГО ГАЗОВОГО ОБОРУДОВАНИЯ В МНОГОКВАРТИРНОМ ДОМЕ,</w:t>
      </w:r>
    </w:p>
    <w:p>
      <w:pPr>
        <w:pStyle w:val="2"/>
        <w:jc w:val="center"/>
      </w:pPr>
      <w:r>
        <w:rPr>
          <w:sz w:val="24"/>
        </w:rPr>
        <w:t xml:space="preserve">ВНУТРИКВАРТИРНОГО ГАЗОВОГО ОБОРУДОВАНИЯ В МНОГОКВАРТИРНОМ</w:t>
      </w:r>
    </w:p>
    <w:p>
      <w:pPr>
        <w:pStyle w:val="2"/>
        <w:jc w:val="center"/>
      </w:pPr>
      <w:r>
        <w:rPr>
          <w:sz w:val="24"/>
        </w:rPr>
        <w:t xml:space="preserve">ДОМЕ И ВНУТРИДОМОВОГО ГАЗОВОГО ОБОРУДОВАНИЯ В ЖИЛОМ ДОМЕ</w:t>
      </w:r>
    </w:p>
    <w:p>
      <w:pPr>
        <w:pStyle w:val="2"/>
        <w:jc w:val="center"/>
      </w:pPr>
      <w:r>
        <w:rPr>
          <w:sz w:val="24"/>
        </w:rPr>
        <w:t xml:space="preserve">ТЕХНИЧЕСКОЕ ОБСЛУЖИВАНИЕ, УСТАНОВКУ (ЗА ИСКЛЮЧЕНИЕМ СЛУЧАЕВ,</w:t>
      </w:r>
    </w:p>
    <w:p>
      <w:pPr>
        <w:pStyle w:val="2"/>
        <w:jc w:val="center"/>
      </w:pPr>
      <w:r>
        <w:rPr>
          <w:sz w:val="24"/>
        </w:rPr>
        <w:t xml:space="preserve">ПРЕДУСМОТРЕННЫХ ПРАВИЛАМИ ТЕХНОЛОГИЧЕСКОГО ПРИСОЕДИНЕНИЯ</w:t>
      </w:r>
    </w:p>
    <w:p>
      <w:pPr>
        <w:pStyle w:val="2"/>
        <w:jc w:val="center"/>
      </w:pPr>
      <w:r>
        <w:rPr>
          <w:sz w:val="24"/>
        </w:rPr>
        <w:t xml:space="preserve">ГАЗОИСПОЛЬЗУЮЩЕГО ОБОРУДОВАНИЯ К ГАЗОРАСПРЕДЕЛИТЕЛЬНЫМ</w:t>
      </w:r>
    </w:p>
    <w:p>
      <w:pPr>
        <w:pStyle w:val="2"/>
        <w:jc w:val="center"/>
      </w:pPr>
      <w:r>
        <w:rPr>
          <w:sz w:val="24"/>
        </w:rPr>
        <w:t xml:space="preserve">СЕТЯМ) И ЗАМЕНУ ВНУТРИДОМОВОГО И ВНУТРИКВАРТИРНОГО</w:t>
      </w:r>
    </w:p>
    <w:p>
      <w:pPr>
        <w:pStyle w:val="2"/>
        <w:jc w:val="center"/>
      </w:pPr>
      <w:r>
        <w:rPr>
          <w:sz w:val="24"/>
        </w:rPr>
        <w:t xml:space="preserve">ГАЗОВОГО ОБОРУДОВАНИЯ</w:t>
      </w:r>
    </w:p>
    <w:p>
      <w:pPr>
        <w:pStyle w:val="0"/>
        <w:jc w:val="center"/>
      </w:pPr>
      <w:r>
        <w:rPr>
          <w:sz w:val="24"/>
        </w:rPr>
      </w:r>
    </w:p>
    <w:p>
      <w:pPr>
        <w:pStyle w:val="0"/>
        <w:ind w:firstLine="540"/>
        <w:jc w:val="both"/>
      </w:pPr>
      <w:r>
        <w:rPr>
          <w:sz w:val="24"/>
        </w:rPr>
        <w:t xml:space="preserve">В соответствии </w:t>
      </w:r>
      <w:hyperlink w:history="0" r:id="rId8" w:tooltip="&quot;Жилищный кодекс Российской Федерации&quot; от 29.12.2004 N 188-ФЗ (ред. от 29.12.2025) ------------ Недействующая редакция {КонсультантПлюс}">
        <w:r>
          <w:rPr>
            <w:sz w:val="24"/>
            <w:color w:val="0000ff"/>
          </w:rPr>
          <w:t xml:space="preserve">частью 9 статьи 157.3</w:t>
        </w:r>
      </w:hyperlink>
      <w:r>
        <w:rPr>
          <w:sz w:val="24"/>
        </w:rPr>
        <w:t xml:space="preserve"> Жилищного кодекса Российской Федерации, </w:t>
      </w:r>
      <w:hyperlink w:history="0" r:id="rId9" w:tooltip="Постановление Правительства РФ от 29.12.2000 N 1021 (ред. от 29.11.2025) &quot;О государственном регулировании цен на газ, тарифов на услуги по его транспортировке,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 предназначенных для транспортировки газа от магистральных газопроводов до объектов капитального строите {КонсультантПлюс}">
        <w:r>
          <w:rPr>
            <w:sz w:val="24"/>
            <w:color w:val="0000ff"/>
          </w:rPr>
          <w:t xml:space="preserve">пунктом 26(30)</w:t>
        </w:r>
      </w:hyperlink>
      <w:r>
        <w:rPr>
          <w:sz w:val="24"/>
        </w:rPr>
        <w:t xml:space="preserve"> Основных положений формирования и государственного регулирования цен на газ, тарифов на услуги по его транспортировке,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 предназначенных для транспортировки газа от магистральных газопроводов до объектов капитального строительства, и газопроводов, предназначенных для транспортировки газа от месторождений природного газа до магистрального газопровода, а также цен (стоимости) услуг по техническому обслуживанию единицы внутридомового газового оборудования в многоквартирном доме, единицы внутриквартирного газового оборудования в многоквартирном доме, единицы внутридомового газового оборудования в жилом доме и цен (стоимости) работ по установке и замене такого оборудования, утвержденных постановлением Правительства Российской Федерации от 29 декабря 2000 г. N 1021, </w:t>
      </w:r>
      <w:hyperlink w:history="0" r:id="rId10" w:tooltip="Постановление Правительства РФ от 30.06.2004 N 331 (ред. от 09.06.2025) &quot;Об утверждении Положения о Федеральной антимонопольной службе&quot; {КонсультантПлюс}">
        <w:r>
          <w:rPr>
            <w:sz w:val="24"/>
            <w:color w:val="0000ff"/>
          </w:rPr>
          <w:t xml:space="preserve">пунктом 1</w:t>
        </w:r>
      </w:hyperlink>
      <w:r>
        <w:rPr>
          <w:sz w:val="24"/>
        </w:rPr>
        <w:t xml:space="preserve"> Положения о Федеральной антимонопольной службе, утвержденного постановлением Правительства Российской Федерации от 30 июня 2004 г. N 331, приказываю:</w:t>
      </w:r>
    </w:p>
    <w:p>
      <w:pPr>
        <w:pStyle w:val="0"/>
        <w:spacing w:before="240" w:lineRule="auto"/>
        <w:ind w:firstLine="540"/>
        <w:jc w:val="both"/>
      </w:pPr>
      <w:r>
        <w:rPr>
          <w:sz w:val="24"/>
        </w:rPr>
        <w:t xml:space="preserve">1. Утвердить прилагаемые Методические </w:t>
      </w:r>
      <w:hyperlink w:history="0" w:anchor="P37" w:tooltip="МЕТОДИЧЕСКИЕ УКАЗАНИЯ">
        <w:r>
          <w:rPr>
            <w:sz w:val="24"/>
            <w:color w:val="0000ff"/>
          </w:rPr>
          <w:t xml:space="preserve">указания</w:t>
        </w:r>
      </w:hyperlink>
      <w:r>
        <w:rPr>
          <w:sz w:val="24"/>
        </w:rPr>
        <w:t xml:space="preserve"> по расчету размера платы за предусмотренные утвержденным Правительством Российской Федераций минимальным перечнем услуг (работ) по техническому обслуживанию и ремонту внутридомового газового оборудования в многоквартирном доме, внутриквартирного газового оборудования в многоквартирном доме и внутридомового газового оборудования в жилом доме техническое обслуживание, установку (за исключением случаев, предусмотренных правилами технологического присоединения газоиспользующего оборудования к газораспределительным сетям) и замену внутридомового и внутриквартирного газового оборудования.</w:t>
      </w:r>
    </w:p>
    <w:p>
      <w:pPr>
        <w:pStyle w:val="0"/>
        <w:spacing w:before="240" w:lineRule="auto"/>
        <w:ind w:firstLine="540"/>
        <w:jc w:val="both"/>
      </w:pPr>
      <w:r>
        <w:rPr>
          <w:sz w:val="24"/>
        </w:rPr>
        <w:t xml:space="preserve">2. Настоящий приказ вступает в силу с 1 марта 2026 г. и действует до 1 марта 2029 г.</w:t>
      </w:r>
    </w:p>
    <w:p>
      <w:pPr>
        <w:pStyle w:val="0"/>
        <w:jc w:val="right"/>
      </w:pPr>
      <w:r>
        <w:rPr>
          <w:sz w:val="24"/>
        </w:rPr>
      </w:r>
    </w:p>
    <w:p>
      <w:pPr>
        <w:pStyle w:val="0"/>
        <w:jc w:val="right"/>
      </w:pPr>
      <w:r>
        <w:rPr>
          <w:sz w:val="24"/>
        </w:rPr>
        <w:t xml:space="preserve">Руководитель</w:t>
      </w:r>
    </w:p>
    <w:p>
      <w:pPr>
        <w:pStyle w:val="0"/>
        <w:jc w:val="right"/>
      </w:pPr>
      <w:r>
        <w:rPr>
          <w:sz w:val="24"/>
        </w:rPr>
        <w:t xml:space="preserve">М.А.ШАСКОЛЬСКИЙ</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Утверждены</w:t>
      </w:r>
    </w:p>
    <w:p>
      <w:pPr>
        <w:pStyle w:val="0"/>
        <w:jc w:val="right"/>
      </w:pPr>
      <w:r>
        <w:rPr>
          <w:sz w:val="24"/>
        </w:rPr>
        <w:t xml:space="preserve">приказом ФАС России</w:t>
      </w:r>
    </w:p>
    <w:p>
      <w:pPr>
        <w:pStyle w:val="0"/>
        <w:jc w:val="right"/>
      </w:pPr>
      <w:r>
        <w:rPr>
          <w:sz w:val="24"/>
        </w:rPr>
        <w:t xml:space="preserve">от 18.02.2026 N 98/26</w:t>
      </w:r>
    </w:p>
    <w:p>
      <w:pPr>
        <w:pStyle w:val="0"/>
        <w:jc w:val="right"/>
      </w:pPr>
      <w:r>
        <w:rPr>
          <w:sz w:val="24"/>
        </w:rPr>
      </w:r>
    </w:p>
    <w:bookmarkStart w:id="37" w:name="P37"/>
    <w:bookmarkEnd w:id="37"/>
    <w:p>
      <w:pPr>
        <w:pStyle w:val="2"/>
        <w:jc w:val="center"/>
      </w:pPr>
      <w:r>
        <w:rPr>
          <w:sz w:val="24"/>
        </w:rPr>
        <w:t xml:space="preserve">МЕТОДИЧЕСКИЕ УКАЗАНИЯ</w:t>
      </w:r>
    </w:p>
    <w:p>
      <w:pPr>
        <w:pStyle w:val="2"/>
        <w:jc w:val="center"/>
      </w:pPr>
      <w:r>
        <w:rPr>
          <w:sz w:val="24"/>
        </w:rPr>
        <w:t xml:space="preserve">ПО РАСЧЕТУ РАЗМЕРА ПЛАТЫ ЗА ПРЕДУСМОТРЕННЫЕ УТВЕРЖДЕННЫМ</w:t>
      </w:r>
    </w:p>
    <w:p>
      <w:pPr>
        <w:pStyle w:val="2"/>
        <w:jc w:val="center"/>
      </w:pPr>
      <w:r>
        <w:rPr>
          <w:sz w:val="24"/>
        </w:rPr>
        <w:t xml:space="preserve">ПРАВИТЕЛЬСТВОМ РОССИЙСКОЙ ФЕДЕРАЦИИ МИНИМАЛЬНЫМ ПЕРЕЧНЕМ</w:t>
      </w:r>
    </w:p>
    <w:p>
      <w:pPr>
        <w:pStyle w:val="2"/>
        <w:jc w:val="center"/>
      </w:pPr>
      <w:r>
        <w:rPr>
          <w:sz w:val="24"/>
        </w:rPr>
        <w:t xml:space="preserve">УСЛУГ (РАБОТ) ПО ТЕХНИЧЕСКОМУ ОБСЛУЖИВАНИЮ И РЕМОНТУ</w:t>
      </w:r>
    </w:p>
    <w:p>
      <w:pPr>
        <w:pStyle w:val="2"/>
        <w:jc w:val="center"/>
      </w:pPr>
      <w:r>
        <w:rPr>
          <w:sz w:val="24"/>
        </w:rPr>
        <w:t xml:space="preserve">ВНУТРИДОМОВОГО ГАЗОВОГО ОБОРУДОВАНИЯ В МНОГОКВАРТИРНОМ ДОМЕ,</w:t>
      </w:r>
    </w:p>
    <w:p>
      <w:pPr>
        <w:pStyle w:val="2"/>
        <w:jc w:val="center"/>
      </w:pPr>
      <w:r>
        <w:rPr>
          <w:sz w:val="24"/>
        </w:rPr>
        <w:t xml:space="preserve">ВНУТРИКВАРТИРНОГО ГАЗОВОГО ОБОРУДОВАНИЯ В МНОГОКВАРТИРНОМ</w:t>
      </w:r>
    </w:p>
    <w:p>
      <w:pPr>
        <w:pStyle w:val="2"/>
        <w:jc w:val="center"/>
      </w:pPr>
      <w:r>
        <w:rPr>
          <w:sz w:val="24"/>
        </w:rPr>
        <w:t xml:space="preserve">ДОМЕ И ВНУТРИДОМОВОГО ГАЗОВОГО ОБОРУДОВАНИЯ В ЖИЛОМ ДОМЕ</w:t>
      </w:r>
    </w:p>
    <w:p>
      <w:pPr>
        <w:pStyle w:val="2"/>
        <w:jc w:val="center"/>
      </w:pPr>
      <w:r>
        <w:rPr>
          <w:sz w:val="24"/>
        </w:rPr>
        <w:t xml:space="preserve">ТЕХНИЧЕСКОЕ ОБСЛУЖИВАНИЕ, УСТАНОВКУ (ЗА ИСКЛЮЧЕНИЕМ СЛУЧАЕВ,</w:t>
      </w:r>
    </w:p>
    <w:p>
      <w:pPr>
        <w:pStyle w:val="2"/>
        <w:jc w:val="center"/>
      </w:pPr>
      <w:r>
        <w:rPr>
          <w:sz w:val="24"/>
        </w:rPr>
        <w:t xml:space="preserve">ПРЕДУСМОТРЕННЫХ ПРАВИЛАМИ ТЕХНОЛОГИЧЕСКОГО ПРИСОЕДИНЕНИЯ</w:t>
      </w:r>
    </w:p>
    <w:p>
      <w:pPr>
        <w:pStyle w:val="2"/>
        <w:jc w:val="center"/>
      </w:pPr>
      <w:r>
        <w:rPr>
          <w:sz w:val="24"/>
        </w:rPr>
        <w:t xml:space="preserve">ГАЗОИСПОЛЬЗУЮЩЕГО ОБОРУДОВАНИЯ К ГАЗОРАСПРЕДЕЛИТЕЛЬНЫМ</w:t>
      </w:r>
    </w:p>
    <w:p>
      <w:pPr>
        <w:pStyle w:val="2"/>
        <w:jc w:val="center"/>
      </w:pPr>
      <w:r>
        <w:rPr>
          <w:sz w:val="24"/>
        </w:rPr>
        <w:t xml:space="preserve">СЕТЯМ) И ЗАМЕНУ ВНУТРИДОМОВОГО И ВНУТРИКВАРТИРНОГО</w:t>
      </w:r>
    </w:p>
    <w:p>
      <w:pPr>
        <w:pStyle w:val="2"/>
        <w:jc w:val="center"/>
      </w:pPr>
      <w:r>
        <w:rPr>
          <w:sz w:val="24"/>
        </w:rPr>
        <w:t xml:space="preserve">ГАЗОВОГО ОБОРУДОВАНИЯ</w:t>
      </w:r>
    </w:p>
    <w:p>
      <w:pPr>
        <w:pStyle w:val="0"/>
        <w:jc w:val="center"/>
      </w:pPr>
      <w:r>
        <w:rPr>
          <w:sz w:val="24"/>
        </w:rPr>
      </w:r>
    </w:p>
    <w:p>
      <w:pPr>
        <w:pStyle w:val="2"/>
        <w:outlineLvl w:val="1"/>
        <w:jc w:val="center"/>
      </w:pPr>
      <w:r>
        <w:rPr>
          <w:sz w:val="24"/>
        </w:rPr>
        <w:t xml:space="preserve">I. Общие положения</w:t>
      </w:r>
    </w:p>
    <w:p>
      <w:pPr>
        <w:pStyle w:val="0"/>
        <w:ind w:firstLine="540"/>
        <w:jc w:val="both"/>
      </w:pPr>
      <w:r>
        <w:rPr>
          <w:sz w:val="24"/>
        </w:rPr>
      </w:r>
    </w:p>
    <w:p>
      <w:pPr>
        <w:pStyle w:val="0"/>
        <w:ind w:firstLine="540"/>
        <w:jc w:val="both"/>
      </w:pPr>
      <w:r>
        <w:rPr>
          <w:sz w:val="24"/>
        </w:rPr>
        <w:t xml:space="preserve">1. Настоящие Методические указания определяют процедуру и порядок расчета размера платы за предусмотренные утвержденным Правительством Российской Федерации минимальным перечнем услуг (работ) по техническому обслуживанию и ремонту внутридомового газового оборудования в многоквартирном доме, внутриквартирного газового оборудования в многоквартирном доме и внутридомового газового оборудования в жилом доме техническое обслуживание, установку (за исключением случаев, предусмотренных правилами технологического присоединения газоиспользующего оборудования к газораспределительным сетям) и замену внутридомового и внутриквартирного газового оборудования, которая устанавливается в виде единых стандартизированных тарифных ставок &lt;1&gt; (далее соответственно - ВДГО, ВКГО, единые стандартизированные тарифные ставки).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1" w:tooltip="Постановление Правительства РФ от 29.12.2000 N 1021 (ред. от 29.11.2025) &quot;О государственном регулировании цен на газ, тарифов на услуги по его транспортировке,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 предназначенных для транспортировки газа от магистральных газопроводов до объектов капитального строите {КонсультантПлюс}">
        <w:r>
          <w:rPr>
            <w:sz w:val="24"/>
            <w:color w:val="0000ff"/>
          </w:rPr>
          <w:t xml:space="preserve">Пункт 26(30)</w:t>
        </w:r>
      </w:hyperlink>
      <w:r>
        <w:rPr>
          <w:sz w:val="24"/>
        </w:rPr>
        <w:t xml:space="preserve"> Основных положений формирования и государственного регулирования цен на газ, тарифов на услуги по его транспортировке,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 предназначенных для транспортировки газа от магистральных газопроводов до объектов капитального строительства, и газопроводов, предназначенных для транспортировки газа от месторождений природного газа до магистрального газопровода, а также цен (стоимости) услуг по техническому обслуживанию единицы внутридомового газового оборудования в многоквартирном доме, единицы внутриквартирного газового оборудования в многоквартирном доме, единицы внутридомового газового оборудования в жилом доме и цен (стоимости) работ по установке и замене такого оборудования, утвержденных постановлением Правительства Российской Федерации от 29 декабря 2000 г. N 1021 (далее - Основные положения) (действует до 01.03.2029).</w:t>
      </w:r>
    </w:p>
    <w:p>
      <w:pPr>
        <w:pStyle w:val="0"/>
        <w:ind w:firstLine="540"/>
        <w:jc w:val="both"/>
      </w:pPr>
      <w:r>
        <w:rPr>
          <w:sz w:val="24"/>
        </w:rPr>
      </w:r>
    </w:p>
    <w:p>
      <w:pPr>
        <w:pStyle w:val="0"/>
        <w:ind w:firstLine="540"/>
        <w:jc w:val="both"/>
      </w:pPr>
      <w:r>
        <w:rPr>
          <w:sz w:val="24"/>
        </w:rPr>
        <w:t xml:space="preserve">2. Настоящие Методические указания предназначены для использования специализированными организациями &lt;2&gt; и исполнительными органами субъектов Российской Федерации в области государственного регулирования цен (тарифов) (далее - регулирующие органы).</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12"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 Недействующая редакция {КонсультантПлюс}">
        <w:r>
          <w:rPr>
            <w:sz w:val="24"/>
            <w:color w:val="0000ff"/>
          </w:rPr>
          <w:t xml:space="preserve">Абзац семнадцатый пункта 2</w:t>
        </w:r>
      </w:hyperlink>
      <w:r>
        <w:rPr>
          <w:sz w:val="24"/>
        </w:rPr>
        <w:t xml:space="preserve">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утвержденных постановлением Правительства Российской Федерации от 14 мая 2013 г. N 410.</w:t>
      </w:r>
    </w:p>
    <w:p>
      <w:pPr>
        <w:pStyle w:val="0"/>
        <w:ind w:firstLine="540"/>
        <w:jc w:val="both"/>
      </w:pPr>
      <w:r>
        <w:rPr>
          <w:sz w:val="24"/>
        </w:rPr>
      </w:r>
    </w:p>
    <w:p>
      <w:pPr>
        <w:pStyle w:val="0"/>
        <w:ind w:firstLine="540"/>
        <w:jc w:val="both"/>
      </w:pPr>
      <w:r>
        <w:rPr>
          <w:sz w:val="24"/>
        </w:rPr>
        <w:t xml:space="preserve">3. Регулирующими органами на очередной календарный год устанавливаются размеры единых стандартизированных тарифных ставок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13" w:tooltip="Постановление Правительства РФ от 29.12.2000 N 1021 (ред. от 29.11.2025) &quot;О государственном регулировании цен на газ, тарифов на услуги по его транспортировке,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оящихся и реконструируемых газопроводов, предназначенных для транспортировки газа от магистральных газопроводов до объектов капитального строите {КонсультантПлюс}">
        <w:r>
          <w:rPr>
            <w:sz w:val="24"/>
            <w:color w:val="0000ff"/>
          </w:rPr>
          <w:t xml:space="preserve">Пункт 26(32)</w:t>
        </w:r>
      </w:hyperlink>
      <w:r>
        <w:rPr>
          <w:sz w:val="24"/>
        </w:rPr>
        <w:t xml:space="preserve"> Основных положений.</w:t>
      </w:r>
    </w:p>
    <w:p>
      <w:pPr>
        <w:pStyle w:val="0"/>
        <w:ind w:firstLine="540"/>
        <w:jc w:val="both"/>
      </w:pPr>
      <w:r>
        <w:rPr>
          <w:sz w:val="24"/>
        </w:rPr>
      </w:r>
    </w:p>
    <w:p>
      <w:pPr>
        <w:pStyle w:val="2"/>
        <w:outlineLvl w:val="1"/>
        <w:jc w:val="center"/>
      </w:pPr>
      <w:r>
        <w:rPr>
          <w:sz w:val="24"/>
        </w:rPr>
        <w:t xml:space="preserve">II. Расчет размера платы за техническое обслуживание,</w:t>
      </w:r>
    </w:p>
    <w:p>
      <w:pPr>
        <w:pStyle w:val="2"/>
        <w:jc w:val="center"/>
      </w:pPr>
      <w:r>
        <w:rPr>
          <w:sz w:val="24"/>
        </w:rPr>
        <w:t xml:space="preserve">установку и замену ВДГО (ВКГО) и расчет размеров единых</w:t>
      </w:r>
    </w:p>
    <w:p>
      <w:pPr>
        <w:pStyle w:val="2"/>
        <w:jc w:val="center"/>
      </w:pPr>
      <w:r>
        <w:rPr>
          <w:sz w:val="24"/>
        </w:rPr>
        <w:t xml:space="preserve">стандартизированных тарифных ставок</w:t>
      </w:r>
    </w:p>
    <w:p>
      <w:pPr>
        <w:pStyle w:val="0"/>
      </w:pPr>
      <w:r>
        <w:rPr>
          <w:sz w:val="24"/>
        </w:rPr>
      </w:r>
    </w:p>
    <w:p>
      <w:pPr>
        <w:pStyle w:val="0"/>
        <w:ind w:firstLine="540"/>
        <w:jc w:val="both"/>
      </w:pPr>
      <w:r>
        <w:rPr>
          <w:sz w:val="24"/>
        </w:rPr>
        <w:t xml:space="preserve">4. Размер платы за техническое обслуживание, установку и замену ВДГО (ВКГО) (P) определяется специализированной организацией на основании размеров единых стандартизированных тарифных ставок, установленных регулирующим органом, по следующей формуле (1):</w:t>
      </w:r>
    </w:p>
    <w:p>
      <w:pPr>
        <w:pStyle w:val="0"/>
        <w:ind w:firstLine="540"/>
        <w:jc w:val="both"/>
      </w:pPr>
      <w:r>
        <w:rPr>
          <w:sz w:val="24"/>
        </w:rPr>
      </w:r>
    </w:p>
    <w:p>
      <w:pPr>
        <w:pStyle w:val="0"/>
        <w:jc w:val="center"/>
      </w:pPr>
      <w:r>
        <w:rPr>
          <w:position w:val="-15"/>
        </w:rPr>
        <w:drawing>
          <wp:inline distT="0" distB="0" distL="0" distR="0">
            <wp:extent cx="1428750" cy="3543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
                      <a:extLst>
                        <a:ext uri="{28A0092B-C50C-407E-A947-70E740481C1C}">
                          <a14:useLocalDpi xmlns:a14="http://schemas.microsoft.com/office/drawing/2010/main" val="0"/>
                        </a:ext>
                      </a:extLst>
                    </a:blip>
                    <a:srcRect/>
                    <a:stretch>
                      <a:fillRect/>
                    </a:stretch>
                  </pic:blipFill>
                  <pic:spPr bwMode="auto">
                    <a:xfrm>
                      <a:off x="0" y="0"/>
                      <a:ext cx="1428750" cy="354330"/>
                    </a:xfrm>
                    <a:prstGeom prst="rect">
                      <a:avLst/>
                    </a:prstGeom>
                    <a:noFill/>
                    <a:ln>
                      <a:noFill/>
                    </a:ln>
                  </pic:spPr>
                </pic:pic>
              </a:graphicData>
            </a:graphic>
          </wp:inline>
        </w:drawing>
      </w:r>
    </w:p>
    <w:p>
      <w:pPr>
        <w:pStyle w:val="0"/>
        <w:ind w:firstLine="54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P</w:t>
      </w:r>
      <w:r>
        <w:rPr>
          <w:sz w:val="24"/>
          <w:vertAlign w:val="subscript"/>
        </w:rPr>
        <w:t xml:space="preserve">i</w:t>
      </w:r>
      <w:r>
        <w:rPr>
          <w:sz w:val="24"/>
        </w:rPr>
        <w:t xml:space="preserve"> - размер единой стандартизированной тарифной ставки;</w:t>
      </w:r>
    </w:p>
    <w:p>
      <w:pPr>
        <w:pStyle w:val="0"/>
        <w:spacing w:before="240" w:lineRule="auto"/>
        <w:ind w:firstLine="540"/>
        <w:jc w:val="both"/>
      </w:pPr>
      <w:r>
        <w:rPr>
          <w:sz w:val="24"/>
        </w:rPr>
        <w:t xml:space="preserve">V</w:t>
      </w:r>
      <w:r>
        <w:rPr>
          <w:sz w:val="24"/>
          <w:vertAlign w:val="subscript"/>
        </w:rPr>
        <w:t xml:space="preserve">i</w:t>
      </w:r>
      <w:r>
        <w:rPr>
          <w:sz w:val="24"/>
        </w:rPr>
        <w:t xml:space="preserve"> - количество обслуживаемых, устанавливаемых или заменяемых единиц i-го вида ВДГО (ВКГО);</w:t>
      </w:r>
    </w:p>
    <w:p>
      <w:pPr>
        <w:pStyle w:val="0"/>
        <w:spacing w:before="240" w:lineRule="auto"/>
        <w:ind w:firstLine="540"/>
        <w:jc w:val="both"/>
      </w:pPr>
      <w:r>
        <w:rPr>
          <w:sz w:val="24"/>
        </w:rPr>
        <w:t xml:space="preserve">I - количество обслуживаемых, устанавливаемых или заменяемых видов ВДГО (ВКГО).</w:t>
      </w:r>
    </w:p>
    <w:p>
      <w:pPr>
        <w:pStyle w:val="0"/>
        <w:spacing w:before="240" w:lineRule="auto"/>
        <w:ind w:firstLine="540"/>
        <w:jc w:val="both"/>
      </w:pPr>
      <w:r>
        <w:rPr>
          <w:sz w:val="24"/>
        </w:rPr>
        <w:t xml:space="preserve">5. Для расчета размера единых стандартизированных тарифных ставок специализированная организация направляет в регулирующий орган заявление об установлении единых стандартизированных тарифных ставок на очередной календарный год (далее - Заявление) с приложением обосновывающих материалов, указанных в </w:t>
      </w:r>
      <w:hyperlink w:history="0" w:anchor="P78" w:tooltip="7. К Заявлению прилагаются следующие обосновывающие материалы:">
        <w:r>
          <w:rPr>
            <w:sz w:val="24"/>
            <w:color w:val="0000ff"/>
          </w:rPr>
          <w:t xml:space="preserve">пункте 7</w:t>
        </w:r>
      </w:hyperlink>
      <w:r>
        <w:rPr>
          <w:sz w:val="24"/>
        </w:rPr>
        <w:t xml:space="preserve"> настоящих Методических указаний (далее - обосновывающие материалы).</w:t>
      </w:r>
    </w:p>
    <w:p>
      <w:pPr>
        <w:pStyle w:val="0"/>
        <w:spacing w:before="240" w:lineRule="auto"/>
        <w:ind w:firstLine="540"/>
        <w:jc w:val="both"/>
      </w:pPr>
      <w:r>
        <w:rPr>
          <w:sz w:val="24"/>
        </w:rPr>
        <w:t xml:space="preserve">6. Заявление подписывается руководителем специализированной организации (уполномоченным им лицом) и скрепляется печатью специализированной организации (при наличии).</w:t>
      </w:r>
    </w:p>
    <w:bookmarkStart w:id="78" w:name="P78"/>
    <w:bookmarkEnd w:id="78"/>
    <w:p>
      <w:pPr>
        <w:pStyle w:val="0"/>
        <w:spacing w:before="240" w:lineRule="auto"/>
        <w:ind w:firstLine="540"/>
        <w:jc w:val="both"/>
      </w:pPr>
      <w:r>
        <w:rPr>
          <w:sz w:val="24"/>
        </w:rPr>
        <w:t xml:space="preserve">7. К Заявлению прилагаются следующие обосновывающие материалы:</w:t>
      </w:r>
    </w:p>
    <w:p>
      <w:pPr>
        <w:pStyle w:val="0"/>
        <w:spacing w:before="240" w:lineRule="auto"/>
        <w:ind w:firstLine="540"/>
        <w:jc w:val="both"/>
      </w:pPr>
      <w:r>
        <w:rPr>
          <w:sz w:val="24"/>
        </w:rPr>
        <w:t xml:space="preserve">а) актуальная на 1 октября текущего календарного года утвержденная учетная политика специализированной организации;</w:t>
      </w:r>
    </w:p>
    <w:p>
      <w:pPr>
        <w:pStyle w:val="0"/>
        <w:spacing w:before="240" w:lineRule="auto"/>
        <w:ind w:firstLine="540"/>
        <w:jc w:val="both"/>
      </w:pPr>
      <w:r>
        <w:rPr>
          <w:sz w:val="24"/>
        </w:rPr>
        <w:t xml:space="preserve">б) расчет численности работников специализированной организации, выполняющих мероприятия по техническому обслуживанию, установке и замене ВДГО (ВКГО);</w:t>
      </w:r>
    </w:p>
    <w:p>
      <w:pPr>
        <w:pStyle w:val="0"/>
        <w:spacing w:before="240" w:lineRule="auto"/>
        <w:ind w:firstLine="540"/>
        <w:jc w:val="both"/>
      </w:pPr>
      <w:r>
        <w:rPr>
          <w:sz w:val="24"/>
        </w:rPr>
        <w:t xml:space="preserve">в) копии бухгалтерского баланса и отчета о финансовых результатах с приложением копий отчета об изменениях капитала, отчета о движении денежных средств;</w:t>
      </w:r>
    </w:p>
    <w:p>
      <w:pPr>
        <w:pStyle w:val="0"/>
        <w:spacing w:before="240" w:lineRule="auto"/>
        <w:ind w:firstLine="540"/>
        <w:jc w:val="both"/>
      </w:pPr>
      <w:r>
        <w:rPr>
          <w:sz w:val="24"/>
        </w:rPr>
        <w:t xml:space="preserve">г) список ВДГО (ВКГО) по видам и количеству оборудования, работы (услуги) по техническому обслуживанию, установке и замене которого выполнены (оказаны) в календарном (календарных) году (годах), определенному (определенных) в соответствии с </w:t>
      </w:r>
      <w:hyperlink w:history="0" w:anchor="P91" w:tooltip="11. Обосновывающие материалы, указанные в Пункте 7 настоящих Методических указаний, представляются:">
        <w:r>
          <w:rPr>
            <w:sz w:val="24"/>
            <w:color w:val="0000ff"/>
          </w:rPr>
          <w:t xml:space="preserve">пунктом 11</w:t>
        </w:r>
      </w:hyperlink>
      <w:r>
        <w:rPr>
          <w:sz w:val="24"/>
        </w:rPr>
        <w:t xml:space="preserve"> настоящих Методических указаний, с указанием:</w:t>
      </w:r>
    </w:p>
    <w:p>
      <w:pPr>
        <w:pStyle w:val="0"/>
        <w:spacing w:before="240" w:lineRule="auto"/>
        <w:ind w:firstLine="540"/>
        <w:jc w:val="both"/>
      </w:pPr>
      <w:r>
        <w:rPr>
          <w:sz w:val="24"/>
        </w:rPr>
        <w:t xml:space="preserve">реквизитов договоров о техническом обслуживании ВДГО в многоквартирном доме, договоров о техническом обслуживании ВКГО в многоквартирном доме, договоров о техническом обслуживании ВДГО в жилом доме, договоров на выполнение работ (оказанию услуг) по установке и замене ВДГО (ВКГО) (дата заключения договора, номер заключения договора);</w:t>
      </w:r>
    </w:p>
    <w:p>
      <w:pPr>
        <w:pStyle w:val="0"/>
        <w:spacing w:before="240" w:lineRule="auto"/>
        <w:ind w:firstLine="540"/>
        <w:jc w:val="both"/>
      </w:pPr>
      <w:r>
        <w:rPr>
          <w:sz w:val="24"/>
        </w:rPr>
        <w:t xml:space="preserve">адресов многоквартирного дома, помещений многоквартирного дома, жилого дома, в которых размещено ВДГО (ВКГО);</w:t>
      </w:r>
    </w:p>
    <w:p>
      <w:pPr>
        <w:pStyle w:val="0"/>
        <w:spacing w:before="240" w:lineRule="auto"/>
        <w:ind w:firstLine="540"/>
        <w:jc w:val="both"/>
      </w:pPr>
      <w:r>
        <w:rPr>
          <w:sz w:val="24"/>
        </w:rPr>
        <w:t xml:space="preserve">д) расчет и обоснование расходов специализированной организации на выполнение работ (оказание услуг) по техническому обслуживанию, установке и замене ВДГО (ВКГО), относимых на себестоимость продукции (работ, услуг), исходя из раздельного учета продукции (услуг) и затрат на ее производство.</w:t>
      </w:r>
    </w:p>
    <w:p>
      <w:pPr>
        <w:pStyle w:val="0"/>
        <w:spacing w:before="240" w:lineRule="auto"/>
        <w:ind w:firstLine="540"/>
        <w:jc w:val="both"/>
      </w:pPr>
      <w:r>
        <w:rPr>
          <w:sz w:val="24"/>
        </w:rPr>
        <w:t xml:space="preserve">8. В случае если специализированная организация не осуществляла деятельность по техническому обслуживанию, установке и замене ВДГО (ВКГО) в период, указанный в </w:t>
      </w:r>
      <w:hyperlink w:history="0" w:anchor="P91" w:tooltip="11. Обосновывающие материалы, указанные в Пункте 7 настоящих Методических указаний, представляются:">
        <w:r>
          <w:rPr>
            <w:sz w:val="24"/>
            <w:color w:val="0000ff"/>
          </w:rPr>
          <w:t xml:space="preserve">пункте 11</w:t>
        </w:r>
      </w:hyperlink>
      <w:r>
        <w:rPr>
          <w:sz w:val="24"/>
        </w:rPr>
        <w:t xml:space="preserve"> настоящих Методических указаний, регулирующий орган учитывает экономически обоснованные расходы такой специализированной организации, относимые на выполнение одного из мероприятий по техническому обслуживанию, установке или замене ВДГО (ВКГО), согласно </w:t>
      </w:r>
      <w:hyperlink w:history="0" w:anchor="P258" w:tooltip="Приложение N 2">
        <w:r>
          <w:rPr>
            <w:sz w:val="24"/>
            <w:color w:val="0000ff"/>
          </w:rPr>
          <w:t xml:space="preserve">приложению N 2</w:t>
        </w:r>
      </w:hyperlink>
      <w:r>
        <w:rPr>
          <w:sz w:val="24"/>
        </w:rPr>
        <w:t xml:space="preserve"> к настоящим Методическим указаниям (далее - экономически обоснованные расходы специализированной организации) на основании планируемых расходов данной специализированной организации по данным видам деятельности на следующий год, но не выше среднего значения экономически обоснованных расходов специализированных организаций в границах одного субъекта Российской Федерации.</w:t>
      </w:r>
    </w:p>
    <w:p>
      <w:pPr>
        <w:pStyle w:val="0"/>
        <w:spacing w:before="240" w:lineRule="auto"/>
        <w:ind w:firstLine="540"/>
        <w:jc w:val="both"/>
      </w:pPr>
      <w:r>
        <w:rPr>
          <w:sz w:val="24"/>
        </w:rPr>
        <w:t xml:space="preserve">9. При отсутствии обосновывающих материалов, указанных в </w:t>
      </w:r>
      <w:hyperlink w:history="0" w:anchor="P78" w:tooltip="7. К Заявлению прилагаются следующие обосновывающие материалы:">
        <w:r>
          <w:rPr>
            <w:sz w:val="24"/>
            <w:color w:val="0000ff"/>
          </w:rPr>
          <w:t xml:space="preserve">пункте 7</w:t>
        </w:r>
      </w:hyperlink>
      <w:r>
        <w:rPr>
          <w:sz w:val="24"/>
        </w:rPr>
        <w:t xml:space="preserve"> настоящих Методических указаний, регулирующий орган в течение 7 рабочих дней со дня поступления Заявления направляет запрос (в форме почтового отправления или электронным сообщением по адресу электронной почты специализированной организации) о предоставлении документов, необходимых для расчета размера единых стандартизированных тарифных ставок.</w:t>
      </w:r>
    </w:p>
    <w:p>
      <w:pPr>
        <w:pStyle w:val="0"/>
        <w:spacing w:before="240" w:lineRule="auto"/>
        <w:ind w:firstLine="540"/>
        <w:jc w:val="both"/>
      </w:pPr>
      <w:r>
        <w:rPr>
          <w:sz w:val="24"/>
        </w:rPr>
        <w:t xml:space="preserve">Специализированная организация направляет в регулирующий орган запрашиваемые документы не позднее 5 рабочих дней со дня получения запроса способом, позволяющим установить факт их направления.</w:t>
      </w:r>
    </w:p>
    <w:p>
      <w:pPr>
        <w:pStyle w:val="0"/>
        <w:spacing w:before="240" w:lineRule="auto"/>
        <w:ind w:firstLine="540"/>
        <w:jc w:val="both"/>
      </w:pPr>
      <w:r>
        <w:rPr>
          <w:sz w:val="24"/>
        </w:rPr>
        <w:t xml:space="preserve">В случае ненаправления специализированной организацией в регулирующий орган запрашиваемых документов, но не ранее чем через 30 рабочих дней с даты поступления Заявления, Заявление не подлежит рассмотрению.</w:t>
      </w:r>
    </w:p>
    <w:p>
      <w:pPr>
        <w:pStyle w:val="0"/>
        <w:spacing w:before="240" w:lineRule="auto"/>
        <w:ind w:firstLine="540"/>
        <w:jc w:val="both"/>
      </w:pPr>
      <w:r>
        <w:rPr>
          <w:sz w:val="24"/>
        </w:rPr>
        <w:t xml:space="preserve">10. Допускается предоставление Заявления и обосновывающих материалов, указанных в </w:t>
      </w:r>
      <w:hyperlink w:history="0" w:anchor="P78" w:tooltip="7. К Заявлению прилагаются следующие обосновывающие материалы:">
        <w:r>
          <w:rPr>
            <w:sz w:val="24"/>
            <w:color w:val="0000ff"/>
          </w:rPr>
          <w:t xml:space="preserve">пункте 7</w:t>
        </w:r>
      </w:hyperlink>
      <w:r>
        <w:rPr>
          <w:sz w:val="24"/>
        </w:rPr>
        <w:t xml:space="preserve"> настоящих Методических указаний, в форме электронных документов, подписанных усиленной квалифицированной электронной подписью в соответствии с Федеральным </w:t>
      </w:r>
      <w:hyperlink w:history="0" r:id="rId15" w:tooltip="Федеральный закон от 06.04.2011 N 63-ФЗ (ред. от 21.04.2025) &quot;Об электронной подписи&quot; ------------ Недействующая редакция {КонсультантПлюс}">
        <w:r>
          <w:rPr>
            <w:sz w:val="24"/>
            <w:color w:val="0000ff"/>
          </w:rPr>
          <w:t xml:space="preserve">законом</w:t>
        </w:r>
      </w:hyperlink>
      <w:r>
        <w:rPr>
          <w:sz w:val="24"/>
        </w:rPr>
        <w:t xml:space="preserve"> от 6 апреля 2011 г. N 63-ФЗ "Об электронной подписи".</w:t>
      </w:r>
    </w:p>
    <w:bookmarkStart w:id="91" w:name="P91"/>
    <w:bookmarkEnd w:id="91"/>
    <w:p>
      <w:pPr>
        <w:pStyle w:val="0"/>
        <w:spacing w:before="240" w:lineRule="auto"/>
        <w:ind w:firstLine="540"/>
        <w:jc w:val="both"/>
      </w:pPr>
      <w:r>
        <w:rPr>
          <w:sz w:val="24"/>
        </w:rPr>
        <w:t xml:space="preserve">11. Обосновывающие материалы, указанные в </w:t>
      </w:r>
      <w:hyperlink w:history="0" w:anchor="P78" w:tooltip="7. К Заявлению прилагаются следующие обосновывающие материалы:">
        <w:r>
          <w:rPr>
            <w:sz w:val="24"/>
            <w:color w:val="0000ff"/>
          </w:rPr>
          <w:t xml:space="preserve">Пункте 7</w:t>
        </w:r>
      </w:hyperlink>
      <w:r>
        <w:rPr>
          <w:sz w:val="24"/>
        </w:rPr>
        <w:t xml:space="preserve"> настоящих Методических указаний, представляются:</w:t>
      </w:r>
    </w:p>
    <w:p>
      <w:pPr>
        <w:pStyle w:val="0"/>
        <w:spacing w:before="240" w:lineRule="auto"/>
        <w:ind w:firstLine="540"/>
        <w:jc w:val="both"/>
      </w:pPr>
      <w:r>
        <w:rPr>
          <w:sz w:val="24"/>
        </w:rPr>
        <w:t xml:space="preserve">за два календарных года, предшествующих текущему году, при утверждении единой стандартизированной тарифной ставки на 2027 год;</w:t>
      </w:r>
    </w:p>
    <w:p>
      <w:pPr>
        <w:pStyle w:val="0"/>
        <w:spacing w:before="240" w:lineRule="auto"/>
        <w:ind w:firstLine="540"/>
        <w:jc w:val="both"/>
      </w:pPr>
      <w:r>
        <w:rPr>
          <w:sz w:val="24"/>
        </w:rPr>
        <w:t xml:space="preserve">за последние три календарных года, предшествующих текущему году, при утверждении единой стандартизированной тарифной ставки на 2028 год и последующие годы.</w:t>
      </w:r>
    </w:p>
    <w:p>
      <w:pPr>
        <w:pStyle w:val="0"/>
        <w:spacing w:before="240" w:lineRule="auto"/>
        <w:ind w:firstLine="540"/>
        <w:jc w:val="both"/>
      </w:pPr>
      <w:r>
        <w:rPr>
          <w:sz w:val="24"/>
        </w:rPr>
        <w:t xml:space="preserve">12. При определении экономически обоснованных расходов специализированной Организации регулирующие органы используют (в порядке очередности, если какой-либо из видов цен не может быть применен по причине отсутствия информации о таких ценах):</w:t>
      </w:r>
    </w:p>
    <w:p>
      <w:pPr>
        <w:pStyle w:val="0"/>
        <w:spacing w:before="240" w:lineRule="auto"/>
        <w:ind w:firstLine="540"/>
        <w:jc w:val="both"/>
      </w:pPr>
      <w:r>
        <w:rPr>
          <w:sz w:val="24"/>
        </w:rPr>
        <w:t xml:space="preserve">установленные на очередной период регулирования цены (тарифы) в случае, если цены (тарифы) на соответствующие товары (услуги) подлежат государственному регулированию;</w:t>
      </w:r>
    </w:p>
    <w:p>
      <w:pPr>
        <w:pStyle w:val="0"/>
        <w:spacing w:before="240" w:lineRule="auto"/>
        <w:ind w:firstLine="540"/>
        <w:jc w:val="both"/>
      </w:pPr>
      <w:r>
        <w:rPr>
          <w:sz w:val="24"/>
        </w:rPr>
        <w:t xml:space="preserve">расходы (цены), установленные в договорах, заключенных в результате проведения торгов;</w:t>
      </w:r>
    </w:p>
    <w:p>
      <w:pPr>
        <w:pStyle w:val="0"/>
        <w:spacing w:before="240" w:lineRule="auto"/>
        <w:ind w:firstLine="540"/>
        <w:jc w:val="both"/>
      </w:pPr>
      <w:r>
        <w:rPr>
          <w:sz w:val="24"/>
        </w:rPr>
        <w:t xml:space="preserve">рыночные цены, сложившиеся на организованных торговых площадках, в том числе биржах, функционирующих на территории Российской Федерации;</w:t>
      </w:r>
    </w:p>
    <w:p>
      <w:pPr>
        <w:pStyle w:val="0"/>
        <w:spacing w:before="240" w:lineRule="auto"/>
        <w:ind w:firstLine="540"/>
        <w:jc w:val="both"/>
      </w:pPr>
      <w:r>
        <w:rPr>
          <w:sz w:val="24"/>
        </w:rPr>
        <w:t xml:space="preserve">рыночные цены, предоставляемые организациями, осуществляющими сбор информации о рыночных ценах, разработку и внедрение специализированных программных средств для исследования рыночных цен, подготовку периодических информационных и аналитических отчетов о рыночных ценах.</w:t>
      </w:r>
    </w:p>
    <w:p>
      <w:pPr>
        <w:pStyle w:val="0"/>
        <w:spacing w:before="240" w:lineRule="auto"/>
        <w:ind w:firstLine="540"/>
        <w:jc w:val="both"/>
      </w:pPr>
      <w:r>
        <w:rPr>
          <w:sz w:val="24"/>
        </w:rPr>
        <w:t xml:space="preserve">При отсутствии указанных данных экономически обоснованные затраты определяются с использованием официальной статистической информаций.</w:t>
      </w:r>
    </w:p>
    <w:p>
      <w:pPr>
        <w:pStyle w:val="0"/>
        <w:spacing w:before="240" w:lineRule="auto"/>
        <w:ind w:firstLine="540"/>
        <w:jc w:val="both"/>
      </w:pPr>
      <w:r>
        <w:rPr>
          <w:sz w:val="24"/>
        </w:rPr>
        <w:t xml:space="preserve">13. При определении размеров единых стандартизированных тарифных ставок регулирующим органом применяются следующие правила учета расходов специализированной организации:</w:t>
      </w:r>
    </w:p>
    <w:p>
      <w:pPr>
        <w:pStyle w:val="0"/>
        <w:spacing w:before="240" w:lineRule="auto"/>
        <w:ind w:firstLine="540"/>
        <w:jc w:val="both"/>
      </w:pPr>
      <w:r>
        <w:rPr>
          <w:sz w:val="24"/>
        </w:rPr>
        <w:t xml:space="preserve">а) учитываются в полном объеме экономически обоснованные расходы специализированной организации, возникающие вследствие выполнения работ (оказания услуг) по техническому обслуживанию, установке и замене единицы ВДГО (ВКГО);</w:t>
      </w:r>
    </w:p>
    <w:p>
      <w:pPr>
        <w:pStyle w:val="0"/>
        <w:spacing w:before="240" w:lineRule="auto"/>
        <w:ind w:firstLine="540"/>
        <w:jc w:val="both"/>
      </w:pPr>
      <w:r>
        <w:rPr>
          <w:sz w:val="24"/>
        </w:rPr>
        <w:t xml:space="preserve">б) не учитываются расходы специализированной организации, возникающие вследствие выполнения работ (оказания услуг) по техническому обслуживанию, установке и замене ВДГО (ВКГО), документально не подтвержденные и экономически не обоснованные;</w:t>
      </w:r>
    </w:p>
    <w:p>
      <w:pPr>
        <w:pStyle w:val="0"/>
        <w:spacing w:before="240" w:lineRule="auto"/>
        <w:ind w:firstLine="540"/>
        <w:jc w:val="both"/>
      </w:pPr>
      <w:r>
        <w:rPr>
          <w:sz w:val="24"/>
        </w:rPr>
        <w:t xml:space="preserve">в) не учитываются расходы специализированной организации, возникающие вследствие осуществления иных видов деятельности.</w:t>
      </w:r>
    </w:p>
    <w:p>
      <w:pPr>
        <w:pStyle w:val="0"/>
        <w:spacing w:before="240" w:lineRule="auto"/>
        <w:ind w:firstLine="540"/>
        <w:jc w:val="both"/>
      </w:pPr>
      <w:r>
        <w:rPr>
          <w:sz w:val="24"/>
        </w:rPr>
        <w:t xml:space="preserve">14. Единые стандартизированные тарифные ставки дифференцируются согласно </w:t>
      </w:r>
      <w:hyperlink w:history="0" w:anchor="P211" w:tooltip="ЕДИНЫЕ СТАНДАРТИЗИРОВАННЫЕ ТАРИФНЫЕ СТАВКИ">
        <w:r>
          <w:rPr>
            <w:sz w:val="24"/>
            <w:color w:val="0000ff"/>
          </w:rPr>
          <w:t xml:space="preserve">приложению N 1</w:t>
        </w:r>
      </w:hyperlink>
      <w:r>
        <w:rPr>
          <w:sz w:val="24"/>
        </w:rPr>
        <w:t xml:space="preserve"> к настоящим Методическим указаниям исходя из состава мероприятий по техническому обслуживанию, установке или замене ВДГО (ВКГО) согласно </w:t>
      </w:r>
      <w:hyperlink w:history="0" w:anchor="P258" w:tooltip="Приложение N 2">
        <w:r>
          <w:rPr>
            <w:sz w:val="24"/>
            <w:color w:val="0000ff"/>
          </w:rPr>
          <w:t xml:space="preserve">приложению N 2</w:t>
        </w:r>
      </w:hyperlink>
      <w:r>
        <w:rPr>
          <w:sz w:val="24"/>
        </w:rPr>
        <w:t xml:space="preserve"> к настоящим Методическим указаниям.</w:t>
      </w:r>
    </w:p>
    <w:p>
      <w:pPr>
        <w:pStyle w:val="0"/>
        <w:spacing w:before="240" w:lineRule="auto"/>
        <w:ind w:firstLine="540"/>
        <w:jc w:val="both"/>
      </w:pPr>
      <w:r>
        <w:rPr>
          <w:sz w:val="24"/>
        </w:rPr>
        <w:t xml:space="preserve">15. Размер единой стандартизированной тарифной ставки рассчитывается (Р</w:t>
      </w:r>
      <w:r>
        <w:rPr>
          <w:sz w:val="24"/>
          <w:vertAlign w:val="subscript"/>
        </w:rPr>
        <w:t xml:space="preserve">i</w:t>
      </w:r>
      <w:r>
        <w:rPr>
          <w:sz w:val="24"/>
        </w:rPr>
        <w:t xml:space="preserve">) по следующей формуле (2):</w:t>
      </w:r>
    </w:p>
    <w:p>
      <w:pPr>
        <w:pStyle w:val="0"/>
        <w:ind w:firstLine="540"/>
        <w:jc w:val="both"/>
      </w:pPr>
      <w:r>
        <w:rPr>
          <w:sz w:val="24"/>
        </w:rPr>
      </w:r>
    </w:p>
    <w:p>
      <w:pPr>
        <w:pStyle w:val="0"/>
        <w:jc w:val="center"/>
      </w:pPr>
      <w:r>
        <w:rPr>
          <w:position w:val="-33"/>
        </w:rPr>
        <w:drawing>
          <wp:inline distT="0" distB="0" distL="0" distR="0">
            <wp:extent cx="1383030" cy="5829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
                      <a:extLst>
                        <a:ext uri="{28A0092B-C50C-407E-A947-70E740481C1C}">
                          <a14:useLocalDpi xmlns:a14="http://schemas.microsoft.com/office/drawing/2010/main" val="0"/>
                        </a:ext>
                      </a:extLst>
                    </a:blip>
                    <a:srcRect/>
                    <a:stretch>
                      <a:fillRect/>
                    </a:stretch>
                  </pic:blipFill>
                  <pic:spPr bwMode="auto">
                    <a:xfrm>
                      <a:off x="0" y="0"/>
                      <a:ext cx="1383030" cy="582930"/>
                    </a:xfrm>
                    <a:prstGeom prst="rect">
                      <a:avLst/>
                    </a:prstGeom>
                    <a:noFill/>
                    <a:ln>
                      <a:noFill/>
                    </a:ln>
                  </pic:spPr>
                </pic:pic>
              </a:graphicData>
            </a:graphic>
          </wp:inline>
        </w:drawing>
      </w:r>
    </w:p>
    <w:p>
      <w:pPr>
        <w:pStyle w:val="0"/>
        <w:jc w:val="center"/>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X</w:t>
      </w:r>
      <w:r>
        <w:rPr>
          <w:sz w:val="24"/>
          <w:vertAlign w:val="subscript"/>
        </w:rPr>
        <w:t xml:space="preserve">j</w:t>
      </w:r>
      <w:r>
        <w:rPr>
          <w:sz w:val="24"/>
        </w:rPr>
        <w:t xml:space="preserve"> - экономически обоснованные расходы специализированной организации за период, определяемый в соответствии с </w:t>
      </w:r>
      <w:hyperlink w:history="0" w:anchor="P91" w:tooltip="11. Обосновывающие материалы, указанные в Пункте 7 настоящих Методических указаний, представляются:">
        <w:r>
          <w:rPr>
            <w:sz w:val="24"/>
            <w:color w:val="0000ff"/>
          </w:rPr>
          <w:t xml:space="preserve">пунктом 11</w:t>
        </w:r>
      </w:hyperlink>
      <w:r>
        <w:rPr>
          <w:sz w:val="24"/>
        </w:rPr>
        <w:t xml:space="preserve"> настоящих Методических указаний;</w:t>
      </w:r>
    </w:p>
    <w:p>
      <w:pPr>
        <w:pStyle w:val="0"/>
        <w:spacing w:before="240" w:lineRule="auto"/>
        <w:ind w:firstLine="540"/>
        <w:jc w:val="both"/>
      </w:pPr>
      <w:r>
        <w:rPr>
          <w:sz w:val="24"/>
        </w:rPr>
        <w:t xml:space="preserve">n - количество специализированных организаций в границах субъекта Российской Федерации.</w:t>
      </w:r>
    </w:p>
    <w:p>
      <w:pPr>
        <w:pStyle w:val="0"/>
        <w:spacing w:before="240" w:lineRule="auto"/>
        <w:ind w:firstLine="540"/>
        <w:jc w:val="both"/>
      </w:pPr>
      <w:r>
        <w:rPr>
          <w:sz w:val="24"/>
        </w:rPr>
        <w:t xml:space="preserve">16. Экономически обоснованные расходы специализированной организации за период, определяемый в соответствии с </w:t>
      </w:r>
      <w:hyperlink w:history="0" w:anchor="P91" w:tooltip="11. Обосновывающие материалы, указанные в Пункте 7 настоящих Методических указаний, представляются:">
        <w:r>
          <w:rPr>
            <w:sz w:val="24"/>
            <w:color w:val="0000ff"/>
          </w:rPr>
          <w:t xml:space="preserve">пунктом 11</w:t>
        </w:r>
      </w:hyperlink>
      <w:r>
        <w:rPr>
          <w:sz w:val="24"/>
        </w:rPr>
        <w:t xml:space="preserve"> настоящих Методических указаний, (X</w:t>
      </w:r>
      <w:r>
        <w:rPr>
          <w:sz w:val="24"/>
          <w:vertAlign w:val="subscript"/>
        </w:rPr>
        <w:t xml:space="preserve">j</w:t>
      </w:r>
      <w:r>
        <w:rPr>
          <w:sz w:val="24"/>
        </w:rPr>
        <w:t xml:space="preserve">), рассчитываются по следующей формуле (3):</w:t>
      </w:r>
    </w:p>
    <w:p>
      <w:pPr>
        <w:pStyle w:val="0"/>
        <w:ind w:firstLine="540"/>
        <w:jc w:val="both"/>
      </w:pPr>
      <w:r>
        <w:rPr>
          <w:sz w:val="24"/>
        </w:rPr>
      </w:r>
    </w:p>
    <w:p>
      <w:pPr>
        <w:pStyle w:val="0"/>
        <w:jc w:val="center"/>
      </w:pPr>
      <w:r>
        <w:rPr>
          <w:sz w:val="24"/>
        </w:rPr>
        <w:t xml:space="preserve">X</w:t>
      </w:r>
      <w:r>
        <w:rPr>
          <w:sz w:val="24"/>
          <w:vertAlign w:val="subscript"/>
        </w:rPr>
        <w:t xml:space="preserve">j</w:t>
      </w:r>
      <w:r>
        <w:rPr>
          <w:sz w:val="24"/>
        </w:rPr>
        <w:t xml:space="preserve"> = М + ЗП</w:t>
      </w:r>
      <w:r>
        <w:rPr>
          <w:sz w:val="24"/>
          <w:vertAlign w:val="subscript"/>
        </w:rPr>
        <w:t xml:space="preserve">осн</w:t>
      </w:r>
      <w:r>
        <w:rPr>
          <w:sz w:val="24"/>
        </w:rPr>
        <w:t xml:space="preserve"> + СВ + ПР + НР (3),</w:t>
      </w:r>
    </w:p>
    <w:p>
      <w:pPr>
        <w:pStyle w:val="0"/>
        <w:jc w:val="center"/>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М - материальные затраты специализированной организации, определяемые согласно </w:t>
      </w:r>
      <w:hyperlink w:history="0" w:anchor="P122" w:tooltip="17. Материальные затраты специализированной организации (М) рассчитываются соответственно по формулам (4), (5):">
        <w:r>
          <w:rPr>
            <w:sz w:val="24"/>
            <w:color w:val="0000ff"/>
          </w:rPr>
          <w:t xml:space="preserve">пунктам 17</w:t>
        </w:r>
      </w:hyperlink>
      <w:r>
        <w:rPr>
          <w:sz w:val="24"/>
        </w:rPr>
        <w:t xml:space="preserve"> - </w:t>
      </w:r>
      <w:hyperlink w:history="0" w:anchor="P136" w:tooltip="18. Фактические материальные затраты включают в себя экономически обоснованные расходы специализированной организации, связанные с закупкой материалов, в том числе горюче-смазочные материалы автомобильного транспорта, малоценных и быстроизнашивающихся предметов, необходимых для выполнения работ (оказания услуг) по техническому обслуживанию, установке и замене ВДГО (ВКГО).">
        <w:r>
          <w:rPr>
            <w:sz w:val="24"/>
            <w:color w:val="0000ff"/>
          </w:rPr>
          <w:t xml:space="preserve">18</w:t>
        </w:r>
      </w:hyperlink>
      <w:r>
        <w:rPr>
          <w:sz w:val="24"/>
        </w:rPr>
        <w:t xml:space="preserve"> настоящих Методических указаний;</w:t>
      </w:r>
    </w:p>
    <w:p>
      <w:pPr>
        <w:pStyle w:val="0"/>
        <w:spacing w:before="240" w:lineRule="auto"/>
        <w:ind w:firstLine="540"/>
        <w:jc w:val="both"/>
      </w:pPr>
      <w:r>
        <w:rPr>
          <w:sz w:val="24"/>
        </w:rPr>
        <w:t xml:space="preserve">ЗП</w:t>
      </w:r>
      <w:r>
        <w:rPr>
          <w:sz w:val="24"/>
          <w:vertAlign w:val="subscript"/>
        </w:rPr>
        <w:t xml:space="preserve">осн</w:t>
      </w:r>
      <w:r>
        <w:rPr>
          <w:sz w:val="24"/>
        </w:rPr>
        <w:t xml:space="preserve"> - затраты на оплату труда работника, выполняющего трудовую функцию по трудовому договору (далее - работник) (состава работников), задействованного (задействованных) в выполнении работ (оказании услуг) по техническому обслуживанию, установке и замене ВДГО (ВКГО), определяемые в соответствии с </w:t>
      </w:r>
      <w:hyperlink w:history="0" w:anchor="P138" w:tooltip="19. Затраты на оплату труда работника (состава работников), задействованного (задействованных) в выполнении работ (оказании услуг) по техническому обслуживанию, установке и замене ВДГО (ВКГО) (), рассчитываются соответственно по формулам (6), (7):">
        <w:r>
          <w:rPr>
            <w:sz w:val="24"/>
            <w:color w:val="0000ff"/>
          </w:rPr>
          <w:t xml:space="preserve">пунктом 19</w:t>
        </w:r>
      </w:hyperlink>
      <w:r>
        <w:rPr>
          <w:sz w:val="24"/>
        </w:rPr>
        <w:t xml:space="preserve"> настоящих Методических указаний;</w:t>
      </w:r>
    </w:p>
    <w:p>
      <w:pPr>
        <w:pStyle w:val="0"/>
        <w:spacing w:before="240" w:lineRule="auto"/>
        <w:ind w:firstLine="540"/>
        <w:jc w:val="both"/>
      </w:pPr>
      <w:r>
        <w:rPr>
          <w:sz w:val="24"/>
        </w:rPr>
        <w:t xml:space="preserve">СВ - отчисления на страховые взносы от величины затрат на оплату труда работника, задействованного в выполнении работ (оказании услуг) по техническому обслуживанию, установке и замене ВДГО (ВКГО), согласно законодательству Российской Федерации о налогах и сборах;</w:t>
      </w:r>
    </w:p>
    <w:p>
      <w:pPr>
        <w:pStyle w:val="0"/>
        <w:spacing w:before="240" w:lineRule="auto"/>
        <w:ind w:firstLine="540"/>
        <w:jc w:val="both"/>
      </w:pPr>
      <w:r>
        <w:rPr>
          <w:sz w:val="24"/>
        </w:rPr>
        <w:t xml:space="preserve">ПР - прочие расходы специализированной организации, связанные с выполнением работ (оказанием услуг) по техническому обслуживанию, установке и замене ВДГО (ВКГО), определяемые в соответствии с </w:t>
      </w:r>
      <w:hyperlink w:history="0" w:anchor="P152" w:tooltip="20. Прочие расходы специализированной организации, связанные с выполнением работ (оказанием услуг) по техническому обслуживанию, установке и замене ВДГО (ВКГО) (ПР), рассчитываются соответственно по формулам (8), (9): при утверждении размера единой стандартизированной тарифной ставки на 2027 год:">
        <w:r>
          <w:rPr>
            <w:sz w:val="24"/>
            <w:color w:val="0000ff"/>
          </w:rPr>
          <w:t xml:space="preserve">пунктами 20</w:t>
        </w:r>
      </w:hyperlink>
      <w:r>
        <w:rPr>
          <w:sz w:val="24"/>
        </w:rPr>
        <w:t xml:space="preserve"> - </w:t>
      </w:r>
      <w:hyperlink w:history="0" w:anchor="P165" w:tooltip="21. Прочие расходы специализированной организации, связанные с выполнением работ (оказанием услуг) по техническому обслуживанию, установке и замене ВДГО (ВКГО), включают в себя:">
        <w:r>
          <w:rPr>
            <w:sz w:val="24"/>
            <w:color w:val="0000ff"/>
          </w:rPr>
          <w:t xml:space="preserve">21</w:t>
        </w:r>
      </w:hyperlink>
      <w:r>
        <w:rPr>
          <w:sz w:val="24"/>
        </w:rPr>
        <w:t xml:space="preserve"> настоящих Методических указаний;</w:t>
      </w:r>
    </w:p>
    <w:p>
      <w:pPr>
        <w:pStyle w:val="0"/>
        <w:spacing w:before="240" w:lineRule="auto"/>
        <w:ind w:firstLine="540"/>
        <w:jc w:val="both"/>
      </w:pPr>
      <w:r>
        <w:rPr>
          <w:sz w:val="24"/>
        </w:rPr>
        <w:t xml:space="preserve">НР - неподконтрольные расходы специализированной организации, связанные с выполнением работ (оказанием услуг) по техническому обслуживанию, установке и замене ВДГО (ВКГО), определяемые в соответствии с </w:t>
      </w:r>
      <w:hyperlink w:history="0" w:anchor="P168" w:tooltip="22. Неподконтрольные расходы специализированной организации, связанные с выполнением работ (оказанием услуг) по техническому обслуживанию, установке и замене ВДГО (ВКГО) (HP), включают в себя расходы на амортизацию и аренду основных средств производственного назначения, налоги, сборы и другие обязательные платежи в соответствии с законодательством о налогах и сборах и рассчитываются соответственно по формулам (10), (11):">
        <w:r>
          <w:rPr>
            <w:sz w:val="24"/>
            <w:color w:val="0000ff"/>
          </w:rPr>
          <w:t xml:space="preserve">пунктами 22</w:t>
        </w:r>
      </w:hyperlink>
      <w:r>
        <w:rPr>
          <w:sz w:val="24"/>
        </w:rPr>
        <w:t xml:space="preserve"> - </w:t>
      </w:r>
      <w:hyperlink w:history="0" w:anchor="P183" w:tooltip="24. Расходы на аренду основных средств производственного назначения, учитываемых при определении размера единой стандартизированной тарифной ставки, определяются регулирующим органом исходя из величины амортизации, налога на имущество организаций и других установленных законодательством Российской Федерации обязательных платежей, связанных с владением имуществом, переданным в аренду.">
        <w:r>
          <w:rPr>
            <w:sz w:val="24"/>
            <w:color w:val="0000ff"/>
          </w:rPr>
          <w:t xml:space="preserve">24</w:t>
        </w:r>
      </w:hyperlink>
      <w:r>
        <w:rPr>
          <w:sz w:val="24"/>
        </w:rPr>
        <w:t xml:space="preserve"> настоящих Методических указаний.</w:t>
      </w:r>
    </w:p>
    <w:bookmarkStart w:id="122" w:name="P122"/>
    <w:bookmarkEnd w:id="122"/>
    <w:p>
      <w:pPr>
        <w:pStyle w:val="0"/>
        <w:spacing w:before="240" w:lineRule="auto"/>
        <w:ind w:firstLine="540"/>
        <w:jc w:val="both"/>
      </w:pPr>
      <w:r>
        <w:rPr>
          <w:sz w:val="24"/>
        </w:rPr>
        <w:t xml:space="preserve">17. Материальные затраты специализированной организации (М) рассчитываются соответственно по формулам (4), (5):</w:t>
      </w:r>
    </w:p>
    <w:p>
      <w:pPr>
        <w:pStyle w:val="0"/>
        <w:spacing w:before="240" w:lineRule="auto"/>
        <w:ind w:firstLine="540"/>
        <w:jc w:val="both"/>
      </w:pPr>
      <w:r>
        <w:rPr>
          <w:sz w:val="24"/>
        </w:rPr>
        <w:t xml:space="preserve">при утверждении размера единой стандартизированной тарифной ставки на 2027 год:</w:t>
      </w:r>
    </w:p>
    <w:p>
      <w:pPr>
        <w:pStyle w:val="0"/>
        <w:ind w:firstLine="540"/>
        <w:jc w:val="both"/>
      </w:pPr>
      <w:r>
        <w:rPr>
          <w:sz w:val="24"/>
        </w:rPr>
      </w:r>
    </w:p>
    <w:p>
      <w:pPr>
        <w:pStyle w:val="0"/>
        <w:jc w:val="center"/>
      </w:pPr>
      <w:r>
        <w:rPr>
          <w:position w:val="-48"/>
        </w:rPr>
        <w:drawing>
          <wp:inline distT="0" distB="0" distL="0" distR="0">
            <wp:extent cx="3120390" cy="7658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a:extLst>
                        <a:ext uri="{28A0092B-C50C-407E-A947-70E740481C1C}">
                          <a14:useLocalDpi xmlns:a14="http://schemas.microsoft.com/office/drawing/2010/main" val="0"/>
                        </a:ext>
                      </a:extLst>
                    </a:blip>
                    <a:srcRect/>
                    <a:stretch>
                      <a:fillRect/>
                    </a:stretch>
                  </pic:blipFill>
                  <pic:spPr bwMode="auto">
                    <a:xfrm>
                      <a:off x="0" y="0"/>
                      <a:ext cx="3120390" cy="765810"/>
                    </a:xfrm>
                    <a:prstGeom prst="rect">
                      <a:avLst/>
                    </a:prstGeom>
                    <a:noFill/>
                    <a:ln>
                      <a:noFill/>
                    </a:ln>
                  </pic:spPr>
                </pic:pic>
              </a:graphicData>
            </a:graphic>
          </wp:inline>
        </w:drawing>
      </w:r>
    </w:p>
    <w:p>
      <w:pPr>
        <w:pStyle w:val="0"/>
        <w:ind w:firstLine="540"/>
        <w:jc w:val="both"/>
      </w:pPr>
      <w:r>
        <w:rPr>
          <w:sz w:val="24"/>
        </w:rPr>
      </w:r>
    </w:p>
    <w:p>
      <w:pPr>
        <w:pStyle w:val="0"/>
        <w:ind w:firstLine="540"/>
        <w:jc w:val="both"/>
      </w:pPr>
      <w:r>
        <w:rPr>
          <w:sz w:val="24"/>
        </w:rPr>
        <w:t xml:space="preserve">при утверждении размера единой стандартизированной тарифной ставки на 2028 и последующие годы:</w:t>
      </w:r>
    </w:p>
    <w:p>
      <w:pPr>
        <w:pStyle w:val="0"/>
        <w:ind w:firstLine="540"/>
        <w:jc w:val="both"/>
      </w:pPr>
      <w:r>
        <w:rPr>
          <w:sz w:val="24"/>
        </w:rPr>
      </w:r>
    </w:p>
    <w:p>
      <w:pPr>
        <w:pStyle w:val="0"/>
        <w:jc w:val="center"/>
      </w:pPr>
      <w:r>
        <w:rPr>
          <w:position w:val="-48"/>
        </w:rPr>
        <w:drawing>
          <wp:inline distT="0" distB="0" distL="0" distR="0">
            <wp:extent cx="4491990" cy="7658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4491990" cy="765810"/>
                    </a:xfrm>
                    <a:prstGeom prst="rect">
                      <a:avLst/>
                    </a:prstGeom>
                    <a:noFill/>
                    <a:ln>
                      <a:noFill/>
                    </a:ln>
                  </pic:spPr>
                </pic:pic>
              </a:graphicData>
            </a:graphic>
          </wp:inline>
        </w:drawing>
      </w:r>
    </w:p>
    <w:p>
      <w:pPr>
        <w:pStyle w:val="0"/>
        <w:ind w:firstLine="54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М</w:t>
      </w:r>
      <w:r>
        <w:rPr>
          <w:sz w:val="24"/>
          <w:vertAlign w:val="superscript"/>
        </w:rPr>
        <w:t xml:space="preserve">факт</w:t>
      </w:r>
      <w:r>
        <w:rPr>
          <w:sz w:val="24"/>
        </w:rPr>
        <w:t xml:space="preserve"> - фактические материальные затраты, относимые на деятельность по выполнению работ (оказанию услуг) по техническому обслуживанию, установке и замене ВДГО (ВКГО) (далее - фактические материальные затраты);</w:t>
      </w:r>
    </w:p>
    <w:p>
      <w:pPr>
        <w:pStyle w:val="0"/>
        <w:spacing w:before="240" w:lineRule="auto"/>
        <w:ind w:firstLine="540"/>
        <w:jc w:val="both"/>
      </w:pPr>
      <w:r>
        <w:rPr>
          <w:sz w:val="24"/>
        </w:rPr>
        <w:t xml:space="preserve">V</w:t>
      </w:r>
      <w:r>
        <w:rPr>
          <w:sz w:val="24"/>
          <w:vertAlign w:val="superscript"/>
        </w:rPr>
        <w:t xml:space="preserve">ст</w:t>
      </w:r>
      <w:r>
        <w:rPr>
          <w:sz w:val="24"/>
        </w:rPr>
        <w:t xml:space="preserve"> - количество оборудования, обслуженного или установленного, или замененного по договорам на техническое обслуживание ВДГО (ВКГО) и актам сдачи-приемки выполненных работ (оказанных услуг) по установке или замене ВДГО (ВКГО) за период, определяемый в соответствии с </w:t>
      </w:r>
      <w:hyperlink w:history="0" w:anchor="P91" w:tooltip="11. Обосновывающие материалы, указанные в Пункте 7 настоящих Методических указаний, представляются:">
        <w:r>
          <w:rPr>
            <w:sz w:val="24"/>
            <w:color w:val="0000ff"/>
          </w:rPr>
          <w:t xml:space="preserve">пунктом 11</w:t>
        </w:r>
      </w:hyperlink>
      <w:r>
        <w:rPr>
          <w:sz w:val="24"/>
        </w:rPr>
        <w:t xml:space="preserve"> настоящих Методических указаний;</w:t>
      </w:r>
    </w:p>
    <w:p>
      <w:pPr>
        <w:pStyle w:val="0"/>
        <w:spacing w:before="240" w:lineRule="auto"/>
        <w:ind w:firstLine="540"/>
        <w:jc w:val="both"/>
      </w:pPr>
      <w:r>
        <w:rPr>
          <w:sz w:val="24"/>
        </w:rPr>
        <w:t xml:space="preserve">I</w:t>
      </w:r>
      <w:r>
        <w:rPr>
          <w:sz w:val="24"/>
          <w:vertAlign w:val="superscript"/>
        </w:rPr>
        <w:t xml:space="preserve">пр</w:t>
      </w:r>
      <w:r>
        <w:rPr>
          <w:sz w:val="24"/>
        </w:rPr>
        <w:t xml:space="preserve"> - индекс цен производителей, определяемый в соответствии с одобренным Правительством Российской Федераций на соответствующий календарный год в соответствии со </w:t>
      </w:r>
      <w:hyperlink w:history="0" r:id="rId19" w:tooltip="Федеральный закон от 28.06.2014 N 172-ФЗ (ред. от 13.07.2024) &quot;О стратегическом планировании в Российской Федерации&quot; {КонсультантПлюс}">
        <w:r>
          <w:rPr>
            <w:sz w:val="24"/>
            <w:color w:val="0000ff"/>
          </w:rPr>
          <w:t xml:space="preserve">статьей 26</w:t>
        </w:r>
      </w:hyperlink>
      <w:r>
        <w:rPr>
          <w:sz w:val="24"/>
        </w:rPr>
        <w:t xml:space="preserve"> Федерального закона от 28 июня 2014 г. N 172-ФЗ "О стратегическом планировании Российской Федерации" прогнозом социально-экономического развития Российской Федерации, на среднесрочный период;</w:t>
      </w:r>
    </w:p>
    <w:p>
      <w:pPr>
        <w:pStyle w:val="0"/>
        <w:spacing w:before="240" w:lineRule="auto"/>
        <w:ind w:firstLine="540"/>
        <w:jc w:val="both"/>
      </w:pPr>
      <w:r>
        <w:rPr>
          <w:sz w:val="24"/>
        </w:rPr>
        <w:t xml:space="preserve">i - год, на который утверждается размер единой стандартизированной тарифной ставки.</w:t>
      </w:r>
    </w:p>
    <w:bookmarkStart w:id="136" w:name="P136"/>
    <w:bookmarkEnd w:id="136"/>
    <w:p>
      <w:pPr>
        <w:pStyle w:val="0"/>
        <w:spacing w:before="240" w:lineRule="auto"/>
        <w:ind w:firstLine="540"/>
        <w:jc w:val="both"/>
      </w:pPr>
      <w:r>
        <w:rPr>
          <w:sz w:val="24"/>
        </w:rPr>
        <w:t xml:space="preserve">18. Фактические материальные затраты включают в себя экономически обоснованные расходы специализированной организации, связанные с закупкой материалов, в том числе горюче-смазочные материалы автомобильного транспорта, малоценных и быстроизнашивающихся предметов, необходимых для выполнения работ (оказания услуг) по техническому обслуживанию, установке и замене ВДГО (ВКГО).</w:t>
      </w:r>
    </w:p>
    <w:p>
      <w:pPr>
        <w:pStyle w:val="0"/>
        <w:spacing w:before="240" w:lineRule="auto"/>
        <w:ind w:firstLine="540"/>
        <w:jc w:val="both"/>
      </w:pPr>
      <w:r>
        <w:rPr>
          <w:sz w:val="24"/>
        </w:rPr>
        <w:t xml:space="preserve">Фактические материальные затраты не включают в себя стоимость ВДГО (ВКГО) и комплектующих элементов.</w:t>
      </w:r>
    </w:p>
    <w:bookmarkStart w:id="138" w:name="P138"/>
    <w:bookmarkEnd w:id="138"/>
    <w:p>
      <w:pPr>
        <w:pStyle w:val="0"/>
        <w:spacing w:before="240" w:lineRule="auto"/>
        <w:ind w:firstLine="540"/>
        <w:jc w:val="both"/>
      </w:pPr>
      <w:r>
        <w:rPr>
          <w:sz w:val="24"/>
        </w:rPr>
        <w:t xml:space="preserve">19. Затраты на оплату труда работника (состава работников), задействованного (задействованных) в выполнении работ (оказании услуг) по техническому обслуживанию, установке и замене ВДГО (ВКГО) (</w:t>
      </w:r>
      <w:r>
        <w:rPr>
          <w:position w:val="-10"/>
        </w:rPr>
        <w:drawing>
          <wp:inline distT="0" distB="0" distL="0" distR="0">
            <wp:extent cx="4457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445770" cy="285750"/>
                    </a:xfrm>
                    <a:prstGeom prst="rect">
                      <a:avLst/>
                    </a:prstGeom>
                    <a:noFill/>
                    <a:ln>
                      <a:noFill/>
                    </a:ln>
                  </pic:spPr>
                </pic:pic>
              </a:graphicData>
            </a:graphic>
          </wp:inline>
        </w:drawing>
      </w:r>
      <w:r>
        <w:rPr>
          <w:sz w:val="24"/>
        </w:rPr>
        <w:t xml:space="preserve">), рассчитываются соответственно по формулам (6), (7):</w:t>
      </w:r>
    </w:p>
    <w:p>
      <w:pPr>
        <w:pStyle w:val="0"/>
        <w:spacing w:before="240" w:lineRule="auto"/>
        <w:ind w:firstLine="540"/>
        <w:jc w:val="both"/>
      </w:pPr>
      <w:r>
        <w:rPr>
          <w:sz w:val="24"/>
        </w:rPr>
        <w:t xml:space="preserve">при утверждении размера единой стандартизированной тарифной ставки на 2027 год:</w:t>
      </w:r>
    </w:p>
    <w:p>
      <w:pPr>
        <w:pStyle w:val="0"/>
        <w:ind w:firstLine="540"/>
        <w:jc w:val="both"/>
      </w:pPr>
      <w:r>
        <w:rPr>
          <w:sz w:val="24"/>
        </w:rPr>
      </w:r>
    </w:p>
    <w:p>
      <w:pPr>
        <w:pStyle w:val="0"/>
        <w:jc w:val="center"/>
      </w:pPr>
      <w:r>
        <w:rPr>
          <w:position w:val="-28"/>
        </w:rPr>
        <w:drawing>
          <wp:inline distT="0" distB="0" distL="0" distR="0">
            <wp:extent cx="3966210" cy="5143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1">
                      <a:extLst>
                        <a:ext uri="{28A0092B-C50C-407E-A947-70E740481C1C}">
                          <a14:useLocalDpi xmlns:a14="http://schemas.microsoft.com/office/drawing/2010/main" val="0"/>
                        </a:ext>
                      </a:extLst>
                    </a:blip>
                    <a:srcRect/>
                    <a:stretch>
                      <a:fillRect/>
                    </a:stretch>
                  </pic:blipFill>
                  <pic:spPr bwMode="auto">
                    <a:xfrm>
                      <a:off x="0" y="0"/>
                      <a:ext cx="3966210" cy="514350"/>
                    </a:xfrm>
                    <a:prstGeom prst="rect">
                      <a:avLst/>
                    </a:prstGeom>
                    <a:noFill/>
                    <a:ln>
                      <a:noFill/>
                    </a:ln>
                  </pic:spPr>
                </pic:pic>
              </a:graphicData>
            </a:graphic>
          </wp:inline>
        </w:drawing>
      </w:r>
    </w:p>
    <w:p>
      <w:pPr>
        <w:pStyle w:val="0"/>
        <w:ind w:firstLine="540"/>
        <w:jc w:val="both"/>
      </w:pPr>
      <w:r>
        <w:rPr>
          <w:sz w:val="24"/>
        </w:rPr>
      </w:r>
    </w:p>
    <w:p>
      <w:pPr>
        <w:pStyle w:val="0"/>
        <w:ind w:firstLine="540"/>
        <w:jc w:val="both"/>
      </w:pPr>
      <w:r>
        <w:rPr>
          <w:sz w:val="24"/>
        </w:rPr>
        <w:t xml:space="preserve">при утверждении размера единой стандартизированной тарифной ставки на 2028 и последующие годы:</w:t>
      </w:r>
    </w:p>
    <w:p>
      <w:pPr>
        <w:pStyle w:val="0"/>
        <w:ind w:firstLine="540"/>
        <w:jc w:val="both"/>
      </w:pPr>
      <w:r>
        <w:rPr>
          <w:sz w:val="24"/>
        </w:rPr>
      </w:r>
    </w:p>
    <w:p>
      <w:pPr>
        <w:pStyle w:val="0"/>
        <w:jc w:val="center"/>
      </w:pPr>
      <w:r>
        <w:rPr>
          <w:position w:val="-28"/>
        </w:rPr>
        <w:drawing>
          <wp:inline distT="0" distB="0" distL="0" distR="0">
            <wp:extent cx="5703570" cy="5143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2">
                      <a:extLst>
                        <a:ext uri="{28A0092B-C50C-407E-A947-70E740481C1C}">
                          <a14:useLocalDpi xmlns:a14="http://schemas.microsoft.com/office/drawing/2010/main" val="0"/>
                        </a:ext>
                      </a:extLst>
                    </a:blip>
                    <a:srcRect/>
                    <a:stretch>
                      <a:fillRect/>
                    </a:stretch>
                  </pic:blipFill>
                  <pic:spPr bwMode="auto">
                    <a:xfrm>
                      <a:off x="0" y="0"/>
                      <a:ext cx="5703570" cy="514350"/>
                    </a:xfrm>
                    <a:prstGeom prst="rect">
                      <a:avLst/>
                    </a:prstGeom>
                    <a:noFill/>
                    <a:ln>
                      <a:noFill/>
                    </a:ln>
                  </pic:spPr>
                </pic:pic>
              </a:graphicData>
            </a:graphic>
          </wp:inline>
        </w:drawing>
      </w:r>
    </w:p>
    <w:p>
      <w:pPr>
        <w:pStyle w:val="0"/>
        <w:ind w:firstLine="54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N</w:t>
      </w:r>
      <w:r>
        <w:rPr>
          <w:sz w:val="24"/>
          <w:vertAlign w:val="superscript"/>
        </w:rPr>
        <w:t xml:space="preserve">t</w:t>
      </w:r>
      <w:r>
        <w:rPr>
          <w:sz w:val="24"/>
        </w:rPr>
        <w:t xml:space="preserve"> - нормы времени, определяемые согласно </w:t>
      </w:r>
      <w:hyperlink w:history="0" w:anchor="P258" w:tooltip="Приложение N 2">
        <w:r>
          <w:rPr>
            <w:sz w:val="24"/>
            <w:color w:val="0000ff"/>
          </w:rPr>
          <w:t xml:space="preserve">приложению N 2</w:t>
        </w:r>
      </w:hyperlink>
      <w:r>
        <w:rPr>
          <w:sz w:val="24"/>
        </w:rPr>
        <w:t xml:space="preserve"> к настоящим Методическим указаниям;</w:t>
      </w:r>
    </w:p>
    <w:p>
      <w:pPr>
        <w:pStyle w:val="0"/>
        <w:spacing w:before="240" w:lineRule="auto"/>
        <w:ind w:firstLine="540"/>
        <w:jc w:val="both"/>
      </w:pPr>
      <w:r>
        <w:rPr>
          <w:sz w:val="24"/>
        </w:rPr>
        <w:t xml:space="preserve">Tст</w:t>
      </w:r>
      <w:r>
        <w:rPr>
          <w:sz w:val="24"/>
          <w:vertAlign w:val="superscript"/>
        </w:rPr>
        <w:t xml:space="preserve">j</w:t>
      </w:r>
      <w:r>
        <w:rPr>
          <w:sz w:val="24"/>
        </w:rPr>
        <w:t xml:space="preserve"> - часовая ставка заработной платы j-го работника, выплачиваемая за счет себестоимости оказываемых услуг;</w:t>
      </w:r>
    </w:p>
    <w:p>
      <w:pPr>
        <w:pStyle w:val="0"/>
        <w:spacing w:before="240" w:lineRule="auto"/>
        <w:ind w:firstLine="540"/>
        <w:jc w:val="both"/>
      </w:pPr>
      <w:r>
        <w:rPr>
          <w:sz w:val="24"/>
        </w:rPr>
        <w:t xml:space="preserve">I</w:t>
      </w:r>
      <w:r>
        <w:rPr>
          <w:sz w:val="24"/>
          <w:vertAlign w:val="superscript"/>
        </w:rPr>
        <w:t xml:space="preserve">п</w:t>
      </w:r>
      <w:r>
        <w:rPr>
          <w:sz w:val="24"/>
        </w:rPr>
        <w:t xml:space="preserve"> - индекс потребительских цен, определяемый в соответствии с одобренным Правительством Российской Федерации на соответствующий календарный год в соответствии со </w:t>
      </w:r>
      <w:hyperlink w:history="0" r:id="rId23" w:tooltip="Федеральный закон от 28.06.2014 N 172-ФЗ (ред. от 13.07.2024) &quot;О стратегическом планировании в Российской Федерации&quot; {КонсультантПлюс}">
        <w:r>
          <w:rPr>
            <w:sz w:val="24"/>
            <w:color w:val="0000ff"/>
          </w:rPr>
          <w:t xml:space="preserve">статьей 26</w:t>
        </w:r>
      </w:hyperlink>
      <w:r>
        <w:rPr>
          <w:sz w:val="24"/>
        </w:rPr>
        <w:t xml:space="preserve"> Федерального закона от 28 июня 2014 г. N 172-ФЗ "О стратегическом планировании в Российской Федерации" прогнозом социально-экономического развития Российской Федерации, на среднесрочный период;</w:t>
      </w:r>
    </w:p>
    <w:p>
      <w:pPr>
        <w:pStyle w:val="0"/>
        <w:spacing w:before="240" w:lineRule="auto"/>
        <w:ind w:firstLine="540"/>
        <w:jc w:val="both"/>
      </w:pPr>
      <w:r>
        <w:rPr>
          <w:sz w:val="24"/>
        </w:rPr>
        <w:t xml:space="preserve">i - год, на который утверждается размер единой стандартизированной тарифной ставки.</w:t>
      </w:r>
    </w:p>
    <w:bookmarkStart w:id="152" w:name="P152"/>
    <w:bookmarkEnd w:id="152"/>
    <w:p>
      <w:pPr>
        <w:pStyle w:val="0"/>
        <w:spacing w:before="240" w:lineRule="auto"/>
        <w:ind w:firstLine="540"/>
        <w:jc w:val="both"/>
      </w:pPr>
      <w:r>
        <w:rPr>
          <w:sz w:val="24"/>
        </w:rPr>
        <w:t xml:space="preserve">20. Прочие расходы специализированной организации, связанные с выполнением работ (оказанием услуг) по техническому обслуживанию, установке и замене ВДГО (ВКГО) (ПР), рассчитываются соответственно по формулам (8), (9): при утверждении размера единой стандартизированной тарифной ставки на 2027 год:</w:t>
      </w:r>
    </w:p>
    <w:p>
      <w:pPr>
        <w:pStyle w:val="0"/>
        <w:ind w:firstLine="540"/>
        <w:jc w:val="both"/>
      </w:pPr>
      <w:r>
        <w:rPr>
          <w:sz w:val="24"/>
        </w:rPr>
      </w:r>
    </w:p>
    <w:p>
      <w:pPr>
        <w:pStyle w:val="0"/>
        <w:jc w:val="center"/>
      </w:pPr>
      <w:r>
        <w:rPr>
          <w:position w:val="-48"/>
        </w:rPr>
        <w:drawing>
          <wp:inline distT="0" distB="0" distL="0" distR="0">
            <wp:extent cx="3280410" cy="7658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4">
                      <a:extLst>
                        <a:ext uri="{28A0092B-C50C-407E-A947-70E740481C1C}">
                          <a14:useLocalDpi xmlns:a14="http://schemas.microsoft.com/office/drawing/2010/main" val="0"/>
                        </a:ext>
                      </a:extLst>
                    </a:blip>
                    <a:srcRect/>
                    <a:stretch>
                      <a:fillRect/>
                    </a:stretch>
                  </pic:blipFill>
                  <pic:spPr bwMode="auto">
                    <a:xfrm>
                      <a:off x="0" y="0"/>
                      <a:ext cx="3280410" cy="765810"/>
                    </a:xfrm>
                    <a:prstGeom prst="rect">
                      <a:avLst/>
                    </a:prstGeom>
                    <a:noFill/>
                    <a:ln>
                      <a:noFill/>
                    </a:ln>
                  </pic:spPr>
                </pic:pic>
              </a:graphicData>
            </a:graphic>
          </wp:inline>
        </w:drawing>
      </w:r>
    </w:p>
    <w:p>
      <w:pPr>
        <w:pStyle w:val="0"/>
        <w:ind w:firstLine="540"/>
        <w:jc w:val="both"/>
      </w:pPr>
      <w:r>
        <w:rPr>
          <w:sz w:val="24"/>
        </w:rPr>
      </w:r>
    </w:p>
    <w:p>
      <w:pPr>
        <w:pStyle w:val="0"/>
        <w:ind w:firstLine="540"/>
        <w:jc w:val="both"/>
      </w:pPr>
      <w:r>
        <w:rPr>
          <w:sz w:val="24"/>
        </w:rPr>
        <w:t xml:space="preserve">при утверждении размера единой стандартизированной тарифной ставки на 2028 и последующие годы:</w:t>
      </w:r>
    </w:p>
    <w:p>
      <w:pPr>
        <w:pStyle w:val="0"/>
        <w:ind w:firstLine="540"/>
        <w:jc w:val="both"/>
      </w:pPr>
      <w:r>
        <w:rPr>
          <w:sz w:val="24"/>
        </w:rPr>
      </w:r>
    </w:p>
    <w:p>
      <w:pPr>
        <w:pStyle w:val="0"/>
        <w:jc w:val="center"/>
      </w:pPr>
      <w:r>
        <w:rPr>
          <w:position w:val="-48"/>
        </w:rPr>
        <w:drawing>
          <wp:inline distT="0" distB="0" distL="0" distR="0">
            <wp:extent cx="4720590" cy="7658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5">
                      <a:extLst>
                        <a:ext uri="{28A0092B-C50C-407E-A947-70E740481C1C}">
                          <a14:useLocalDpi xmlns:a14="http://schemas.microsoft.com/office/drawing/2010/main" val="0"/>
                        </a:ext>
                      </a:extLst>
                    </a:blip>
                    <a:srcRect/>
                    <a:stretch>
                      <a:fillRect/>
                    </a:stretch>
                  </pic:blipFill>
                  <pic:spPr bwMode="auto">
                    <a:xfrm>
                      <a:off x="0" y="0"/>
                      <a:ext cx="4720590" cy="765810"/>
                    </a:xfrm>
                    <a:prstGeom prst="rect">
                      <a:avLst/>
                    </a:prstGeom>
                    <a:noFill/>
                    <a:ln>
                      <a:noFill/>
                    </a:ln>
                  </pic:spPr>
                </pic:pic>
              </a:graphicData>
            </a:graphic>
          </wp:inline>
        </w:drawing>
      </w:r>
    </w:p>
    <w:p>
      <w:pPr>
        <w:pStyle w:val="0"/>
        <w:ind w:firstLine="54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ПР</w:t>
      </w:r>
      <w:r>
        <w:rPr>
          <w:sz w:val="24"/>
          <w:vertAlign w:val="superscript"/>
        </w:rPr>
        <w:t xml:space="preserve">факт</w:t>
      </w:r>
      <w:r>
        <w:rPr>
          <w:sz w:val="24"/>
        </w:rPr>
        <w:t xml:space="preserve"> - фактические прочие расходы, относимые на деятельность по выполнению работ (оказанию услуг) по техническому обслуживанию, установке и замене ВДГО (ВКГО);</w:t>
      </w:r>
    </w:p>
    <w:p>
      <w:pPr>
        <w:pStyle w:val="0"/>
        <w:spacing w:before="240" w:lineRule="auto"/>
        <w:ind w:firstLine="540"/>
        <w:jc w:val="both"/>
      </w:pPr>
      <w:r>
        <w:rPr>
          <w:sz w:val="24"/>
        </w:rPr>
        <w:t xml:space="preserve">V</w:t>
      </w:r>
      <w:r>
        <w:rPr>
          <w:sz w:val="24"/>
          <w:vertAlign w:val="superscript"/>
        </w:rPr>
        <w:t xml:space="preserve">ст</w:t>
      </w:r>
      <w:r>
        <w:rPr>
          <w:sz w:val="24"/>
        </w:rPr>
        <w:t xml:space="preserve"> - количество оборудования, обслуженного или установленного, или замененного по договорам на техническое обслуживание ВДГО (ВКГО) и актам сдачи-приемки выполненных работ (оказанных услуг) по установке или замене ВДГО (ВКГО) за период, определяемый в соответствии с </w:t>
      </w:r>
      <w:hyperlink w:history="0" w:anchor="P91" w:tooltip="11. Обосновывающие материалы, указанные в Пункте 7 настоящих Методических указаний, представляются:">
        <w:r>
          <w:rPr>
            <w:sz w:val="24"/>
            <w:color w:val="0000ff"/>
          </w:rPr>
          <w:t xml:space="preserve">пунктом 11</w:t>
        </w:r>
      </w:hyperlink>
      <w:r>
        <w:rPr>
          <w:sz w:val="24"/>
        </w:rPr>
        <w:t xml:space="preserve"> настоящих Методических указаний;</w:t>
      </w:r>
    </w:p>
    <w:p>
      <w:pPr>
        <w:pStyle w:val="0"/>
        <w:spacing w:before="240" w:lineRule="auto"/>
        <w:ind w:firstLine="540"/>
        <w:jc w:val="both"/>
      </w:pPr>
      <w:r>
        <w:rPr>
          <w:sz w:val="24"/>
        </w:rPr>
        <w:t xml:space="preserve">I</w:t>
      </w:r>
      <w:r>
        <w:rPr>
          <w:sz w:val="24"/>
          <w:vertAlign w:val="superscript"/>
        </w:rPr>
        <w:t xml:space="preserve">п</w:t>
      </w:r>
      <w:r>
        <w:rPr>
          <w:sz w:val="24"/>
        </w:rPr>
        <w:t xml:space="preserve"> - индекс потребительских цен, определяемый в соответствии с одобренным Правительством Российской Федерации на соответствующий календарный год в соответствии со </w:t>
      </w:r>
      <w:hyperlink w:history="0" r:id="rId26" w:tooltip="Федеральный закон от 28.06.2014 N 172-ФЗ (ред. от 13.07.2024) &quot;О стратегическом планировании в Российской Федерации&quot; {КонсультантПлюс}">
        <w:r>
          <w:rPr>
            <w:sz w:val="24"/>
            <w:color w:val="0000ff"/>
          </w:rPr>
          <w:t xml:space="preserve">статьей 26</w:t>
        </w:r>
      </w:hyperlink>
      <w:r>
        <w:rPr>
          <w:sz w:val="24"/>
        </w:rPr>
        <w:t xml:space="preserve"> Федерального закона от 28 июня 2014 г. N 172-ФЗ "О стратегическом планировании в Российской Федерации" прогнозом социально-экономического развития Российской Федерации, на среднесрочный период;</w:t>
      </w:r>
    </w:p>
    <w:p>
      <w:pPr>
        <w:pStyle w:val="0"/>
        <w:spacing w:before="240" w:lineRule="auto"/>
        <w:ind w:firstLine="540"/>
        <w:jc w:val="both"/>
      </w:pPr>
      <w:r>
        <w:rPr>
          <w:sz w:val="24"/>
        </w:rPr>
        <w:t xml:space="preserve">i - год, на который утверждается размер единой стандартизированной тарифной ставки.</w:t>
      </w:r>
    </w:p>
    <w:bookmarkStart w:id="165" w:name="P165"/>
    <w:bookmarkEnd w:id="165"/>
    <w:p>
      <w:pPr>
        <w:pStyle w:val="0"/>
        <w:spacing w:before="240" w:lineRule="auto"/>
        <w:ind w:firstLine="540"/>
        <w:jc w:val="both"/>
      </w:pPr>
      <w:r>
        <w:rPr>
          <w:sz w:val="24"/>
        </w:rPr>
        <w:t xml:space="preserve">21. Прочие расходы специализированной организации, связанные с выполнением работ (оказанием услуг) по техническому обслуживанию, установке и замене ВДГО (ВКГО), включают в себя:</w:t>
      </w:r>
    </w:p>
    <w:p>
      <w:pPr>
        <w:pStyle w:val="0"/>
        <w:spacing w:before="240" w:lineRule="auto"/>
        <w:ind w:firstLine="540"/>
        <w:jc w:val="both"/>
      </w:pPr>
      <w:r>
        <w:rPr>
          <w:sz w:val="24"/>
        </w:rPr>
        <w:t xml:space="preserve">прочие расходы исполнителя, непосредственно связанные с выполнением работ (оказанием услуг) по техническому обслуживанию, установке и замене ВДГО (ВКГО): расходы на приобретение спецодежды и специальной обуви для работников, расходы на оплату средств связи и на информационное обслуживание, иные услуги, непосредственно связанные с оказанием услуг по техническому обслуживанию, установке и замене ВДГО (ВКГО);</w:t>
      </w:r>
    </w:p>
    <w:p>
      <w:pPr>
        <w:pStyle w:val="0"/>
        <w:spacing w:before="240" w:lineRule="auto"/>
        <w:ind w:firstLine="540"/>
        <w:jc w:val="both"/>
      </w:pPr>
      <w:r>
        <w:rPr>
          <w:sz w:val="24"/>
        </w:rPr>
        <w:t xml:space="preserve">общепроизводственные и общехозяйственные расходы - расходы на выплату заработной платы общепроизводственного и общехозяйственного персонала и взносы в государственные внебюджетные фонды от заработной платы, амортизация по основным средствам общехозяйственного и общепроизводственного назначения, относимые на работы (услуги) по техническому обслуживанию, установке и замене ВДГО (ВКГО).</w:t>
      </w:r>
    </w:p>
    <w:bookmarkStart w:id="168" w:name="P168"/>
    <w:bookmarkEnd w:id="168"/>
    <w:p>
      <w:pPr>
        <w:pStyle w:val="0"/>
        <w:spacing w:before="240" w:lineRule="auto"/>
        <w:ind w:firstLine="540"/>
        <w:jc w:val="both"/>
      </w:pPr>
      <w:r>
        <w:rPr>
          <w:sz w:val="24"/>
        </w:rPr>
        <w:t xml:space="preserve">22. Неподконтрольные расходы специализированной организации, связанные с выполнением работ (оказанием услуг) по техническому обслуживанию, установке и замене ВДГО (ВКГО) (HP), включают в себя расходы на амортизацию и аренду основных средств производственного назначения, налоги, сборы и другие обязательные платежи в соответствии с законодательством о налогах и сборах и рассчитываются соответственно по формулам (10), (11):</w:t>
      </w:r>
    </w:p>
    <w:p>
      <w:pPr>
        <w:pStyle w:val="0"/>
        <w:spacing w:before="240" w:lineRule="auto"/>
        <w:ind w:firstLine="540"/>
        <w:jc w:val="both"/>
      </w:pPr>
      <w:r>
        <w:rPr>
          <w:sz w:val="24"/>
        </w:rPr>
        <w:t xml:space="preserve">при утверждении размера единой стандартизированной тарифной ставки на 2027 год:</w:t>
      </w:r>
    </w:p>
    <w:p>
      <w:pPr>
        <w:pStyle w:val="0"/>
        <w:ind w:firstLine="540"/>
        <w:jc w:val="both"/>
      </w:pPr>
      <w:r>
        <w:rPr>
          <w:sz w:val="24"/>
        </w:rPr>
      </w:r>
    </w:p>
    <w:p>
      <w:pPr>
        <w:pStyle w:val="0"/>
        <w:jc w:val="center"/>
      </w:pPr>
      <w:r>
        <w:rPr>
          <w:position w:val="-48"/>
        </w:rPr>
        <w:drawing>
          <wp:inline distT="0" distB="0" distL="0" distR="0">
            <wp:extent cx="2137410" cy="7658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7">
                      <a:extLst>
                        <a:ext uri="{28A0092B-C50C-407E-A947-70E740481C1C}">
                          <a14:useLocalDpi xmlns:a14="http://schemas.microsoft.com/office/drawing/2010/main" val="0"/>
                        </a:ext>
                      </a:extLst>
                    </a:blip>
                    <a:srcRect/>
                    <a:stretch>
                      <a:fillRect/>
                    </a:stretch>
                  </pic:blipFill>
                  <pic:spPr bwMode="auto">
                    <a:xfrm>
                      <a:off x="0" y="0"/>
                      <a:ext cx="2137410" cy="765810"/>
                    </a:xfrm>
                    <a:prstGeom prst="rect">
                      <a:avLst/>
                    </a:prstGeom>
                    <a:noFill/>
                    <a:ln>
                      <a:noFill/>
                    </a:ln>
                  </pic:spPr>
                </pic:pic>
              </a:graphicData>
            </a:graphic>
          </wp:inline>
        </w:drawing>
      </w:r>
    </w:p>
    <w:p>
      <w:pPr>
        <w:pStyle w:val="0"/>
        <w:jc w:val="center"/>
      </w:pPr>
      <w:r>
        <w:rPr>
          <w:sz w:val="24"/>
        </w:rPr>
      </w:r>
    </w:p>
    <w:p>
      <w:pPr>
        <w:pStyle w:val="0"/>
        <w:ind w:firstLine="540"/>
        <w:jc w:val="both"/>
      </w:pPr>
      <w:r>
        <w:rPr>
          <w:sz w:val="24"/>
        </w:rPr>
        <w:t xml:space="preserve">при утверждении размера единой стандартизированной тарифной ставки на 2028 и последующие годы:</w:t>
      </w:r>
    </w:p>
    <w:p>
      <w:pPr>
        <w:pStyle w:val="0"/>
        <w:ind w:firstLine="540"/>
        <w:jc w:val="both"/>
      </w:pPr>
      <w:r>
        <w:rPr>
          <w:sz w:val="24"/>
        </w:rPr>
      </w:r>
    </w:p>
    <w:p>
      <w:pPr>
        <w:pStyle w:val="0"/>
        <w:jc w:val="center"/>
      </w:pPr>
      <w:r>
        <w:rPr>
          <w:position w:val="-48"/>
        </w:rPr>
        <w:drawing>
          <wp:inline distT="0" distB="0" distL="0" distR="0">
            <wp:extent cx="2788920" cy="7658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
                      <a:extLst>
                        <a:ext uri="{28A0092B-C50C-407E-A947-70E740481C1C}">
                          <a14:useLocalDpi xmlns:a14="http://schemas.microsoft.com/office/drawing/2010/main" val="0"/>
                        </a:ext>
                      </a:extLst>
                    </a:blip>
                    <a:srcRect/>
                    <a:stretch>
                      <a:fillRect/>
                    </a:stretch>
                  </pic:blipFill>
                  <pic:spPr bwMode="auto">
                    <a:xfrm>
                      <a:off x="0" y="0"/>
                      <a:ext cx="2788920" cy="765810"/>
                    </a:xfrm>
                    <a:prstGeom prst="rect">
                      <a:avLst/>
                    </a:prstGeom>
                    <a:noFill/>
                    <a:ln>
                      <a:noFill/>
                    </a:ln>
                  </pic:spPr>
                </pic:pic>
              </a:graphicData>
            </a:graphic>
          </wp:inline>
        </w:drawing>
      </w:r>
    </w:p>
    <w:p>
      <w:pPr>
        <w:pStyle w:val="0"/>
        <w:jc w:val="center"/>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НР</w:t>
      </w:r>
      <w:r>
        <w:rPr>
          <w:sz w:val="24"/>
          <w:vertAlign w:val="superscript"/>
        </w:rPr>
        <w:t xml:space="preserve">факт</w:t>
      </w:r>
      <w:r>
        <w:rPr>
          <w:sz w:val="24"/>
        </w:rPr>
        <w:t xml:space="preserve"> - ф</w:t>
      </w:r>
      <w:r>
        <w:rPr>
          <w:sz w:val="24"/>
          <w:vertAlign w:val="subscript"/>
        </w:rPr>
        <w:t xml:space="preserve">акхические</w:t>
      </w:r>
      <w:r>
        <w:rPr>
          <w:sz w:val="24"/>
        </w:rPr>
        <w:t xml:space="preserve"> неподконтрольные расходы, относимые на деятельность по выполнению работ (оказанию услуг) по техническому обслуживанию, установке и замене ВДГО (ВКГО);</w:t>
      </w:r>
    </w:p>
    <w:p>
      <w:pPr>
        <w:pStyle w:val="0"/>
        <w:spacing w:before="240" w:lineRule="auto"/>
        <w:ind w:firstLine="540"/>
        <w:jc w:val="both"/>
      </w:pPr>
      <w:r>
        <w:rPr>
          <w:sz w:val="24"/>
        </w:rPr>
        <w:t xml:space="preserve">V</w:t>
      </w:r>
      <w:r>
        <w:rPr>
          <w:sz w:val="24"/>
          <w:vertAlign w:val="superscript"/>
        </w:rPr>
        <w:t xml:space="preserve">ст</w:t>
      </w:r>
      <w:r>
        <w:rPr>
          <w:sz w:val="24"/>
        </w:rPr>
        <w:t xml:space="preserve"> - количество оборудования, обслуженного или установленного, или замененного по договорам на техническое обслуживание ВДГО (ВКГО) и актам сдачи-приемки выполненных работ (оказанных услуг) по установке или замене ВДГО (ВКГО) за период, определяемый в соответствии с </w:t>
      </w:r>
      <w:hyperlink w:history="0" w:anchor="P91" w:tooltip="11. Обосновывающие материалы, указанные в Пункте 7 настоящих Методических указаний, представляются:">
        <w:r>
          <w:rPr>
            <w:sz w:val="24"/>
            <w:color w:val="0000ff"/>
          </w:rPr>
          <w:t xml:space="preserve">пунктом 11</w:t>
        </w:r>
      </w:hyperlink>
      <w:r>
        <w:rPr>
          <w:sz w:val="24"/>
        </w:rPr>
        <w:t xml:space="preserve"> настоящих Методических указаний;</w:t>
      </w:r>
    </w:p>
    <w:p>
      <w:pPr>
        <w:pStyle w:val="0"/>
        <w:spacing w:before="240" w:lineRule="auto"/>
        <w:ind w:firstLine="540"/>
        <w:jc w:val="both"/>
      </w:pPr>
      <w:r>
        <w:rPr>
          <w:sz w:val="24"/>
        </w:rPr>
        <w:t xml:space="preserve">i - год, на который утверждается размер единой стандартизированной тарифной ставки.</w:t>
      </w:r>
    </w:p>
    <w:p>
      <w:pPr>
        <w:pStyle w:val="0"/>
        <w:spacing w:before="240" w:lineRule="auto"/>
        <w:ind w:firstLine="540"/>
        <w:jc w:val="both"/>
      </w:pPr>
      <w:r>
        <w:rPr>
          <w:sz w:val="24"/>
        </w:rPr>
        <w:t xml:space="preserve">23. Расходы на амортизацию и аренду основных средств производственного назначения определяются на уровне, равном сумме отношений стоимости амортизируемых активов к сроку полезного использования таких активов.</w:t>
      </w:r>
    </w:p>
    <w:p>
      <w:pPr>
        <w:pStyle w:val="0"/>
        <w:spacing w:before="240" w:lineRule="auto"/>
        <w:ind w:firstLine="540"/>
        <w:jc w:val="both"/>
      </w:pPr>
      <w:r>
        <w:rPr>
          <w:sz w:val="24"/>
        </w:rPr>
        <w:t xml:space="preserve">При расчете экономически обоснованного размера амортизации срок полезного использования основных средств определяется регулирующим органом исходя из максимальных сроков полезного использования. Срок полезного использования указанных основных средств принимается регулирующим органом исходя из данных проектной документации основных средств и бухгалтерского учета, но не ниже минимального срока полезного использования, предусмотренного </w:t>
      </w:r>
      <w:hyperlink w:history="0" r:id="rId29" w:tooltip="Постановление Правительства РФ от 01.01.2002 N 1 (ред. от 18.11.2022) &quot;О Классификации основных средств, включаемых в амортизационные группы&quot; {КонсультантПлюс}">
        <w:r>
          <w:rPr>
            <w:sz w:val="24"/>
            <w:color w:val="0000ff"/>
          </w:rPr>
          <w:t xml:space="preserve">Классификацией</w:t>
        </w:r>
      </w:hyperlink>
      <w:r>
        <w:rPr>
          <w:sz w:val="24"/>
        </w:rPr>
        <w:t xml:space="preserve"> основных средств, включаемых в амортизационные группы, утвержденной постановлением Правительства Российской Федерации от 1 января 2002 г. N 1 "О Классификации основных средств, включаемых в амортизационные группы", в отношении соответствующей амортизационной группы.</w:t>
      </w:r>
    </w:p>
    <w:bookmarkStart w:id="183" w:name="P183"/>
    <w:bookmarkEnd w:id="183"/>
    <w:p>
      <w:pPr>
        <w:pStyle w:val="0"/>
        <w:spacing w:before="240" w:lineRule="auto"/>
        <w:ind w:firstLine="540"/>
        <w:jc w:val="both"/>
      </w:pPr>
      <w:r>
        <w:rPr>
          <w:sz w:val="24"/>
        </w:rPr>
        <w:t xml:space="preserve">24. Расходы на аренду основных средств производственного назначения, учитываемых при определении размера единой стандартизированной тарифной ставки, определяются регулирующим органом исходя из величины амортизации, налога на имущество организаций и других установленных законодательством Российской Федерации обязательных платежей, связанных с владением имуществом, переданным в аренду.</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1</w:t>
      </w:r>
    </w:p>
    <w:p>
      <w:pPr>
        <w:pStyle w:val="0"/>
        <w:jc w:val="right"/>
      </w:pPr>
      <w:r>
        <w:rPr>
          <w:sz w:val="24"/>
        </w:rPr>
        <w:t xml:space="preserve">к Методическим указаниям</w:t>
      </w:r>
    </w:p>
    <w:p>
      <w:pPr>
        <w:pStyle w:val="0"/>
        <w:jc w:val="right"/>
      </w:pPr>
      <w:r>
        <w:rPr>
          <w:sz w:val="24"/>
        </w:rPr>
        <w:t xml:space="preserve">по расчету размера платы</w:t>
      </w:r>
    </w:p>
    <w:p>
      <w:pPr>
        <w:pStyle w:val="0"/>
        <w:jc w:val="right"/>
      </w:pPr>
      <w:r>
        <w:rPr>
          <w:sz w:val="24"/>
        </w:rPr>
        <w:t xml:space="preserve">за предусмотренные утвержденным</w:t>
      </w:r>
    </w:p>
    <w:p>
      <w:pPr>
        <w:pStyle w:val="0"/>
        <w:jc w:val="right"/>
      </w:pPr>
      <w:r>
        <w:rPr>
          <w:sz w:val="24"/>
        </w:rPr>
        <w:t xml:space="preserve">Правительством Российской Федераций</w:t>
      </w:r>
    </w:p>
    <w:p>
      <w:pPr>
        <w:pStyle w:val="0"/>
        <w:jc w:val="right"/>
      </w:pPr>
      <w:r>
        <w:rPr>
          <w:sz w:val="24"/>
        </w:rPr>
        <w:t xml:space="preserve">минимальным перечнем услуг (работ)</w:t>
      </w:r>
    </w:p>
    <w:p>
      <w:pPr>
        <w:pStyle w:val="0"/>
        <w:jc w:val="right"/>
      </w:pPr>
      <w:r>
        <w:rPr>
          <w:sz w:val="24"/>
        </w:rPr>
        <w:t xml:space="preserve">по техническому обслуживанию</w:t>
      </w:r>
    </w:p>
    <w:p>
      <w:pPr>
        <w:pStyle w:val="0"/>
        <w:jc w:val="right"/>
      </w:pPr>
      <w:r>
        <w:rPr>
          <w:sz w:val="24"/>
        </w:rPr>
        <w:t xml:space="preserve">и ремонту внутридомового газового</w:t>
      </w:r>
    </w:p>
    <w:p>
      <w:pPr>
        <w:pStyle w:val="0"/>
        <w:jc w:val="right"/>
      </w:pPr>
      <w:r>
        <w:rPr>
          <w:sz w:val="24"/>
        </w:rPr>
        <w:t xml:space="preserve">оборудования в многоквартирном</w:t>
      </w:r>
    </w:p>
    <w:p>
      <w:pPr>
        <w:pStyle w:val="0"/>
        <w:jc w:val="right"/>
      </w:pPr>
      <w:r>
        <w:rPr>
          <w:sz w:val="24"/>
        </w:rPr>
        <w:t xml:space="preserve">доме, внутриквартирного газового</w:t>
      </w:r>
    </w:p>
    <w:p>
      <w:pPr>
        <w:pStyle w:val="0"/>
        <w:jc w:val="right"/>
      </w:pPr>
      <w:r>
        <w:rPr>
          <w:sz w:val="24"/>
        </w:rPr>
        <w:t xml:space="preserve">оборудования в многоквартирном доме</w:t>
      </w:r>
    </w:p>
    <w:p>
      <w:pPr>
        <w:pStyle w:val="0"/>
        <w:jc w:val="right"/>
      </w:pPr>
      <w:r>
        <w:rPr>
          <w:sz w:val="24"/>
        </w:rPr>
        <w:t xml:space="preserve">и внутридомового газового оборудования</w:t>
      </w:r>
    </w:p>
    <w:p>
      <w:pPr>
        <w:pStyle w:val="0"/>
        <w:jc w:val="right"/>
      </w:pPr>
      <w:r>
        <w:rPr>
          <w:sz w:val="24"/>
        </w:rPr>
        <w:t xml:space="preserve">в жилом доме техническое обслуживание,</w:t>
      </w:r>
    </w:p>
    <w:p>
      <w:pPr>
        <w:pStyle w:val="0"/>
        <w:jc w:val="right"/>
      </w:pPr>
      <w:r>
        <w:rPr>
          <w:sz w:val="24"/>
        </w:rPr>
        <w:t xml:space="preserve">установку (за исключением случаев,</w:t>
      </w:r>
    </w:p>
    <w:p>
      <w:pPr>
        <w:pStyle w:val="0"/>
        <w:jc w:val="right"/>
      </w:pPr>
      <w:r>
        <w:rPr>
          <w:sz w:val="24"/>
        </w:rPr>
        <w:t xml:space="preserve">предусмотренных правилами</w:t>
      </w:r>
    </w:p>
    <w:p>
      <w:pPr>
        <w:pStyle w:val="0"/>
        <w:jc w:val="right"/>
      </w:pPr>
      <w:r>
        <w:rPr>
          <w:sz w:val="24"/>
        </w:rPr>
        <w:t xml:space="preserve">технологического присоединения</w:t>
      </w:r>
    </w:p>
    <w:p>
      <w:pPr>
        <w:pStyle w:val="0"/>
        <w:jc w:val="right"/>
      </w:pPr>
      <w:r>
        <w:rPr>
          <w:sz w:val="24"/>
        </w:rPr>
        <w:t xml:space="preserve">газоиспользующего оборудования</w:t>
      </w:r>
    </w:p>
    <w:p>
      <w:pPr>
        <w:pStyle w:val="0"/>
        <w:jc w:val="right"/>
      </w:pPr>
      <w:r>
        <w:rPr>
          <w:sz w:val="24"/>
        </w:rPr>
        <w:t xml:space="preserve">к газораспределительным сетям)</w:t>
      </w:r>
    </w:p>
    <w:p>
      <w:pPr>
        <w:pStyle w:val="0"/>
        <w:jc w:val="right"/>
      </w:pPr>
      <w:r>
        <w:rPr>
          <w:sz w:val="24"/>
        </w:rPr>
        <w:t xml:space="preserve">и замену внутридомового</w:t>
      </w:r>
    </w:p>
    <w:p>
      <w:pPr>
        <w:pStyle w:val="0"/>
        <w:jc w:val="right"/>
      </w:pPr>
      <w:r>
        <w:rPr>
          <w:sz w:val="24"/>
        </w:rPr>
        <w:t xml:space="preserve">и внутриквартирного</w:t>
      </w:r>
    </w:p>
    <w:p>
      <w:pPr>
        <w:pStyle w:val="0"/>
        <w:jc w:val="right"/>
      </w:pPr>
      <w:r>
        <w:rPr>
          <w:sz w:val="24"/>
        </w:rPr>
        <w:t xml:space="preserve">газового оборудования</w:t>
      </w:r>
    </w:p>
    <w:p>
      <w:pPr>
        <w:pStyle w:val="0"/>
        <w:jc w:val="right"/>
      </w:pPr>
      <w:r>
        <w:rPr>
          <w:sz w:val="24"/>
        </w:rPr>
      </w:r>
    </w:p>
    <w:bookmarkStart w:id="211" w:name="P211"/>
    <w:bookmarkEnd w:id="211"/>
    <w:p>
      <w:pPr>
        <w:pStyle w:val="2"/>
        <w:jc w:val="center"/>
      </w:pPr>
      <w:r>
        <w:rPr>
          <w:sz w:val="24"/>
        </w:rPr>
        <w:t xml:space="preserve">ЕДИНЫЕ СТАНДАРТИЗИРОВАННЫЕ ТАРИФНЫЕ СТАВКИ</w:t>
      </w:r>
    </w:p>
    <w:p>
      <w:pPr>
        <w:pStyle w:val="0"/>
        <w:ind w:firstLine="540"/>
        <w:jc w:val="both"/>
      </w:pPr>
      <w:r>
        <w:rPr>
          <w:sz w:val="24"/>
        </w:rPr>
      </w:r>
    </w:p>
    <w:p>
      <w:pPr>
        <w:pStyle w:val="0"/>
        <w:ind w:firstLine="540"/>
        <w:jc w:val="both"/>
      </w:pPr>
      <w:r>
        <w:rPr>
          <w:sz w:val="24"/>
        </w:rPr>
        <w:t xml:space="preserve">1.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бытового газоиспользующего оборудования, предназначенного для приготовления и подогрева пищи (плиты газовые, панели варочные (врезные газовые поверхности), комбинированные газоэлектрические плиты, шкафы духовые газовые) в жилом доме.</w:t>
      </w:r>
    </w:p>
    <w:p>
      <w:pPr>
        <w:pStyle w:val="0"/>
        <w:spacing w:before="240" w:lineRule="auto"/>
        <w:ind w:firstLine="540"/>
        <w:jc w:val="both"/>
      </w:pPr>
      <w:r>
        <w:rPr>
          <w:sz w:val="24"/>
        </w:rPr>
        <w:t xml:space="preserve">2.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бытового газоиспользующего оборудования, предназначенного для приготовления горячей воды на цели хозяйственных и санитарно-гигиенических нужд (водонагреватели газовые мгновенного действия (водонагреватели проточные газовые), аппараты водонагревательные емкостные газовые бытовые (водонагреватели емкостные газовые) в жилом доме.</w:t>
      </w:r>
    </w:p>
    <w:p>
      <w:pPr>
        <w:pStyle w:val="0"/>
        <w:spacing w:before="240" w:lineRule="auto"/>
        <w:ind w:firstLine="540"/>
        <w:jc w:val="both"/>
      </w:pPr>
      <w:r>
        <w:rPr>
          <w:sz w:val="24"/>
        </w:rPr>
        <w:t xml:space="preserve">3.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бытового газоиспользующего оборудования, предназначенного для индивидуального отопления (котлы газовые отопительные (одноконтурные) и аппараты водонагревательные емкостные газовые бытовые (водонагреватели емкостные газовые) одноконтурные, конвекторы отопительные газовые бытовые (газовые конвекторы), устройства газогорелочные для отопительных печей (печные горелки) в жилом доме.</w:t>
      </w:r>
    </w:p>
    <w:p>
      <w:pPr>
        <w:pStyle w:val="0"/>
        <w:spacing w:before="240" w:lineRule="auto"/>
        <w:ind w:firstLine="540"/>
        <w:jc w:val="both"/>
      </w:pPr>
      <w:r>
        <w:rPr>
          <w:sz w:val="24"/>
        </w:rPr>
        <w:t xml:space="preserve">4.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бытового газоиспользующего оборудования, предназначенного для индивидуального отопления и приготовления горячей воды на цели хозяйственных и санитарно-гигиенических нужд (аппараты (котлы двухконтурные) газовые) в жилом доме.</w:t>
      </w:r>
    </w:p>
    <w:p>
      <w:pPr>
        <w:pStyle w:val="0"/>
        <w:spacing w:before="240" w:lineRule="auto"/>
        <w:ind w:firstLine="540"/>
        <w:jc w:val="both"/>
      </w:pPr>
      <w:r>
        <w:rPr>
          <w:sz w:val="24"/>
        </w:rPr>
        <w:t xml:space="preserve">5.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внутренних газопроводов в жилом доме.</w:t>
      </w:r>
    </w:p>
    <w:p>
      <w:pPr>
        <w:pStyle w:val="0"/>
        <w:spacing w:before="240" w:lineRule="auto"/>
        <w:ind w:firstLine="540"/>
        <w:jc w:val="both"/>
      </w:pPr>
      <w:r>
        <w:rPr>
          <w:sz w:val="24"/>
        </w:rPr>
        <w:t xml:space="preserve">6.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наружных (надземных, фасадных) газопроводов в жилом доме.</w:t>
      </w:r>
    </w:p>
    <w:p>
      <w:pPr>
        <w:pStyle w:val="0"/>
        <w:spacing w:before="240" w:lineRule="auto"/>
        <w:ind w:firstLine="540"/>
        <w:jc w:val="both"/>
      </w:pPr>
      <w:r>
        <w:rPr>
          <w:sz w:val="24"/>
        </w:rPr>
        <w:t xml:space="preserve">7.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наружных (подземных) газопроводов в жилом доме.</w:t>
      </w:r>
    </w:p>
    <w:p>
      <w:pPr>
        <w:pStyle w:val="0"/>
        <w:spacing w:before="240" w:lineRule="auto"/>
        <w:ind w:firstLine="540"/>
        <w:jc w:val="both"/>
      </w:pPr>
      <w:r>
        <w:rPr>
          <w:sz w:val="24"/>
        </w:rPr>
        <w:t xml:space="preserve">8.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отключающих устройств, установленных на газопроводах в жилом доме.</w:t>
      </w:r>
    </w:p>
    <w:p>
      <w:pPr>
        <w:pStyle w:val="0"/>
        <w:spacing w:before="240" w:lineRule="auto"/>
        <w:ind w:firstLine="540"/>
        <w:jc w:val="both"/>
      </w:pPr>
      <w:r>
        <w:rPr>
          <w:sz w:val="24"/>
        </w:rPr>
        <w:t xml:space="preserve">9.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системы контроля загазованности в жилом доме.</w:t>
      </w:r>
    </w:p>
    <w:p>
      <w:pPr>
        <w:pStyle w:val="0"/>
        <w:spacing w:before="240" w:lineRule="auto"/>
        <w:ind w:firstLine="540"/>
        <w:jc w:val="both"/>
      </w:pPr>
      <w:r>
        <w:rPr>
          <w:sz w:val="24"/>
        </w:rPr>
        <w:t xml:space="preserve">10.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электроизолирующих соединений, установленных на внутренних газопроводах в жилом доме.</w:t>
      </w:r>
    </w:p>
    <w:p>
      <w:pPr>
        <w:pStyle w:val="0"/>
        <w:spacing w:before="240" w:lineRule="auto"/>
        <w:ind w:firstLine="540"/>
        <w:jc w:val="both"/>
      </w:pPr>
      <w:r>
        <w:rPr>
          <w:sz w:val="24"/>
        </w:rPr>
        <w:t xml:space="preserve">11.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электроизолирующих соединений, установленных на наружных газопроводах (надземных, фасадных) в жилом доме.</w:t>
      </w:r>
    </w:p>
    <w:p>
      <w:pPr>
        <w:pStyle w:val="0"/>
        <w:spacing w:before="240" w:lineRule="auto"/>
        <w:ind w:firstLine="540"/>
        <w:jc w:val="both"/>
      </w:pPr>
      <w:r>
        <w:rPr>
          <w:sz w:val="24"/>
        </w:rPr>
        <w:t xml:space="preserve">12.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бытового газоиспользующего оборудования, предназначенного для приготовления и подогрева пищи (плиты газовые, панели варочные (врезные газовые поверхности), комбинированные газоэлектрические плиты, шкафы духовые газовые), входящего в состав ВКГО в многоквартирном доме.</w:t>
      </w:r>
    </w:p>
    <w:p>
      <w:pPr>
        <w:pStyle w:val="0"/>
        <w:spacing w:before="240" w:lineRule="auto"/>
        <w:ind w:firstLine="540"/>
        <w:jc w:val="both"/>
      </w:pPr>
      <w:r>
        <w:rPr>
          <w:sz w:val="24"/>
        </w:rPr>
        <w:t xml:space="preserve">13.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бытового газоиспользующего оборудования, предназначенного для приготовления горячей воды на цели хозяйственных и санитарно-гигиенических Нужд (водонагреватели газовые мгновенного действия (водонагреватели проточные газовые), аппараты водонагревательные емкостные газовые бытовые (водонагреватели емкостные газовые), входящего в состав ВКГО в многоквартирном доме.</w:t>
      </w:r>
    </w:p>
    <w:p>
      <w:pPr>
        <w:pStyle w:val="0"/>
        <w:spacing w:before="240" w:lineRule="auto"/>
        <w:ind w:firstLine="540"/>
        <w:jc w:val="both"/>
      </w:pPr>
      <w:r>
        <w:rPr>
          <w:sz w:val="24"/>
        </w:rPr>
        <w:t xml:space="preserve">14.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бытового газоиспользующего оборудования, предназначенного для индивидуального отопления (котлы газовые отопительные (одноконтурные) и аппараты водонагревательные емкостные газовые бытовые (Водонагреватели емкостные газовые) одноконтурные, конвекторы отопительные газовые бытовые (газовые конвекторы), устройства газогорелочные для отопительных печей (печные горелки), входящего в состав ВКГО в многоквартирном доме.</w:t>
      </w:r>
    </w:p>
    <w:p>
      <w:pPr>
        <w:pStyle w:val="0"/>
        <w:spacing w:before="240" w:lineRule="auto"/>
        <w:ind w:firstLine="540"/>
        <w:jc w:val="both"/>
      </w:pPr>
      <w:r>
        <w:rPr>
          <w:sz w:val="24"/>
        </w:rPr>
        <w:t xml:space="preserve">15.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бытового газоиспользующего оборудования, предназначенного для индивидуального отопления и приготовления горячей воды на цели хозяйственных и санитарно-гигиенических нужд (аппараты (котлы двухконтурные) газовые), входящего в состав ВКГО в многоквартирном доме.</w:t>
      </w:r>
    </w:p>
    <w:p>
      <w:pPr>
        <w:pStyle w:val="0"/>
        <w:spacing w:before="240" w:lineRule="auto"/>
        <w:ind w:firstLine="540"/>
        <w:jc w:val="both"/>
      </w:pPr>
      <w:r>
        <w:rPr>
          <w:sz w:val="24"/>
        </w:rPr>
        <w:t xml:space="preserve">16.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системы контроля загазованности, входящего в состав ВКГО в многоквартирном доме.</w:t>
      </w:r>
    </w:p>
    <w:p>
      <w:pPr>
        <w:pStyle w:val="0"/>
        <w:spacing w:before="240" w:lineRule="auto"/>
        <w:ind w:firstLine="540"/>
        <w:jc w:val="both"/>
      </w:pPr>
      <w:r>
        <w:rPr>
          <w:sz w:val="24"/>
        </w:rPr>
        <w:t xml:space="preserve">17.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электроизолирующих соединений, установленных на внутренних газопроводах, входящих в состав ВКГО в многоквартирном доме.</w:t>
      </w:r>
    </w:p>
    <w:p>
      <w:pPr>
        <w:pStyle w:val="0"/>
        <w:spacing w:before="240" w:lineRule="auto"/>
        <w:ind w:firstLine="540"/>
        <w:jc w:val="both"/>
      </w:pPr>
      <w:r>
        <w:rPr>
          <w:sz w:val="24"/>
        </w:rPr>
        <w:t xml:space="preserve">18.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бытового газоиспользующего оборудования, предназначенного для приготовления и подогрева пищи (плиты газовые, панели варочные (врезные газовые поверхности), комбинированные газоэлектрические плиты, шкафы духовые газовые), входящего в состав ВДГО в многоквартирном доме.</w:t>
      </w:r>
    </w:p>
    <w:p>
      <w:pPr>
        <w:pStyle w:val="0"/>
        <w:spacing w:before="240" w:lineRule="auto"/>
        <w:ind w:firstLine="540"/>
        <w:jc w:val="both"/>
      </w:pPr>
      <w:r>
        <w:rPr>
          <w:sz w:val="24"/>
        </w:rPr>
        <w:t xml:space="preserve">19.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бытового газоиспользующего оборудования, предназначенного для приготовления горячей воды на цели хозяйственных и санитарно-гигиенических нужд (водонагреватели газовые мгновенного действия (водонагреватели проточные газовые), аппараты водонагревательные емкостные газовые бытовые (водонагреватели емкостные газовые), входящего в состав ВДГО в многоквартирном доме.</w:t>
      </w:r>
    </w:p>
    <w:p>
      <w:pPr>
        <w:pStyle w:val="0"/>
        <w:spacing w:before="240" w:lineRule="auto"/>
        <w:ind w:firstLine="540"/>
        <w:jc w:val="both"/>
      </w:pPr>
      <w:r>
        <w:rPr>
          <w:sz w:val="24"/>
        </w:rPr>
        <w:t xml:space="preserve">20.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бытового газоиспользующего оборудования, предназначенного для индивидуального отопления (котлы газовые отопительные (одноконтурные) и аппараты водонагревательные емкостные газовые бытовые (водонагреватели емкостные газовые) одноконтурные, конвекторы отопительные газовые бытовые (газовые конвекторы), устройства газогорелочные для отопительных печей (печные горелки), входящего в состав ВДГО в многоквартирном доме.</w:t>
      </w:r>
    </w:p>
    <w:p>
      <w:pPr>
        <w:pStyle w:val="0"/>
        <w:spacing w:before="240" w:lineRule="auto"/>
        <w:ind w:firstLine="540"/>
        <w:jc w:val="both"/>
      </w:pPr>
      <w:r>
        <w:rPr>
          <w:sz w:val="24"/>
        </w:rPr>
        <w:t xml:space="preserve">21.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бытового газоиспользующего оборудования, предназначенного для индивидуального отопления и приготовления горячей воды на цели хозяйственных и санитарно-гигиенических нужд (аппараты (котлы двухконтурные) газовые), входящего в состав ВДГО в многоквартирном доме.</w:t>
      </w:r>
    </w:p>
    <w:p>
      <w:pPr>
        <w:pStyle w:val="0"/>
        <w:spacing w:before="240" w:lineRule="auto"/>
        <w:ind w:firstLine="540"/>
        <w:jc w:val="both"/>
      </w:pPr>
      <w:r>
        <w:rPr>
          <w:sz w:val="24"/>
        </w:rPr>
        <w:t xml:space="preserve">22.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внутренних газопроводов с установленными на них техническими устройствами (трубопроводная арматура, электроизолирующие соединения, приборы учета газа), входящих в состав ВДГО в многоквартирном доме.</w:t>
      </w:r>
    </w:p>
    <w:p>
      <w:pPr>
        <w:pStyle w:val="0"/>
        <w:spacing w:before="240" w:lineRule="auto"/>
        <w:ind w:firstLine="540"/>
        <w:jc w:val="both"/>
      </w:pPr>
      <w:r>
        <w:rPr>
          <w:sz w:val="24"/>
        </w:rPr>
        <w:t xml:space="preserve">23.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наружных (надземных) газопроводов с установленными на них техническими устройствами (трубопроводная арматура, приборы учета газа), входящих в состав ВДГО в многоквартирном доме.</w:t>
      </w:r>
    </w:p>
    <w:p>
      <w:pPr>
        <w:pStyle w:val="0"/>
        <w:spacing w:before="240" w:lineRule="auto"/>
        <w:ind w:firstLine="540"/>
        <w:jc w:val="both"/>
      </w:pPr>
      <w:r>
        <w:rPr>
          <w:sz w:val="24"/>
        </w:rPr>
        <w:t xml:space="preserve">24.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наружных (подземных) газопроводов, входящих в состав ВДГО в многоквартирном доме.</w:t>
      </w:r>
    </w:p>
    <w:p>
      <w:pPr>
        <w:pStyle w:val="0"/>
        <w:spacing w:before="240" w:lineRule="auto"/>
        <w:ind w:firstLine="540"/>
        <w:jc w:val="both"/>
      </w:pPr>
      <w:r>
        <w:rPr>
          <w:sz w:val="24"/>
        </w:rPr>
        <w:t xml:space="preserve">25.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отключающих устройств, входящих в состав ВДГО в многоквартирном доме.</w:t>
      </w:r>
    </w:p>
    <w:p>
      <w:pPr>
        <w:pStyle w:val="0"/>
        <w:spacing w:before="240" w:lineRule="auto"/>
        <w:ind w:firstLine="540"/>
        <w:jc w:val="both"/>
      </w:pPr>
      <w:r>
        <w:rPr>
          <w:sz w:val="24"/>
        </w:rPr>
        <w:t xml:space="preserve">26.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системы контроля загазованности, входящего в состав ВДГО в многоквартирном доме.</w:t>
      </w:r>
    </w:p>
    <w:p>
      <w:pPr>
        <w:pStyle w:val="0"/>
        <w:spacing w:before="240" w:lineRule="auto"/>
        <w:ind w:firstLine="540"/>
        <w:jc w:val="both"/>
      </w:pPr>
      <w:r>
        <w:rPr>
          <w:sz w:val="24"/>
        </w:rPr>
        <w:t xml:space="preserve">27.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электроизолирующих соединений, установленных на внутренних газопроводах, входящих в состав ВДГО в многоквартирном доме.</w:t>
      </w:r>
    </w:p>
    <w:p>
      <w:pPr>
        <w:pStyle w:val="0"/>
        <w:spacing w:before="240" w:lineRule="auto"/>
        <w:ind w:firstLine="540"/>
        <w:jc w:val="both"/>
      </w:pPr>
      <w:r>
        <w:rPr>
          <w:sz w:val="24"/>
        </w:rPr>
        <w:t xml:space="preserve">28.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электроизолирующих соединений, установленных на наружных газопроводах (надземных, фасадных), входящих в состав ВДГО в многоквартирном доме.</w:t>
      </w:r>
    </w:p>
    <w:p>
      <w:pPr>
        <w:pStyle w:val="0"/>
        <w:spacing w:before="240" w:lineRule="auto"/>
        <w:ind w:firstLine="540"/>
        <w:jc w:val="both"/>
      </w:pPr>
      <w:r>
        <w:rPr>
          <w:sz w:val="24"/>
        </w:rPr>
        <w:t xml:space="preserve">29. Единая стандартизированная тарифная ставка на покрытие расходов специализированных организаций, связанных с выполнением работ по установке газоиспользующего оборудования, предназначенного для приготовления и подогрева пищи (плиты газовые, панели варочные (врезные газовые поверхности), комбинированные газоэлектрические плиты, шкафы духовые газовые).</w:t>
      </w:r>
    </w:p>
    <w:p>
      <w:pPr>
        <w:pStyle w:val="0"/>
        <w:spacing w:before="240" w:lineRule="auto"/>
        <w:ind w:firstLine="540"/>
        <w:jc w:val="both"/>
      </w:pPr>
      <w:r>
        <w:rPr>
          <w:sz w:val="24"/>
        </w:rPr>
        <w:t xml:space="preserve">30. Единая стандартизированная тарифная ставка на покрытие расходов специализированных организаций, связанных с выполнением работ по установке газоиспользующего оборудования, предназначенного для отопления и приготовления горячей воды на цели хозяйственных и санитарно-гигиенических нужд (аппараты (котлы двухконтурные) газовые).</w:t>
      </w:r>
    </w:p>
    <w:p>
      <w:pPr>
        <w:pStyle w:val="0"/>
        <w:spacing w:before="240" w:lineRule="auto"/>
        <w:ind w:firstLine="540"/>
        <w:jc w:val="both"/>
      </w:pPr>
      <w:r>
        <w:rPr>
          <w:sz w:val="24"/>
        </w:rPr>
        <w:t xml:space="preserve">31. Единая стандартизированная тарифная ставка на покрытие расходов специализированных организаций, связанных с выполнением работ по установке газоиспользующего оборудования, предназначенного для отопления (котлы газовые отопительные (одноконтурные) и аппараты водонагревательные емкостные газовые (водонагреватели емкостные газовые) одноконтурные, конвекторы отопительные газовые (газовые конвекторы), устройства газогорелочные для отопительных печей (печные горелки).</w:t>
      </w:r>
    </w:p>
    <w:p>
      <w:pPr>
        <w:pStyle w:val="0"/>
        <w:spacing w:before="240" w:lineRule="auto"/>
        <w:ind w:firstLine="540"/>
        <w:jc w:val="both"/>
      </w:pPr>
      <w:r>
        <w:rPr>
          <w:sz w:val="24"/>
        </w:rPr>
        <w:t xml:space="preserve">32. Единая стандартизированная тарифная ставка на покрытие расходов специализированных организаций, связанных с выполнением работ по установке газоиспользующего оборудования, предназначенного для приготовления горячей воды на цели хозяйственных и санитарно-гигиенических нужд (водонагреватели газовые мгновенного действия (водонагреватели проточные газовые), аппараты водонагревательные емкостные газовые (водонагреватели емкостные газовые).</w:t>
      </w:r>
    </w:p>
    <w:p>
      <w:pPr>
        <w:pStyle w:val="0"/>
        <w:spacing w:before="240" w:lineRule="auto"/>
        <w:ind w:firstLine="540"/>
        <w:jc w:val="both"/>
      </w:pPr>
      <w:r>
        <w:rPr>
          <w:sz w:val="24"/>
        </w:rPr>
        <w:t xml:space="preserve">33. Единая стандартизированная тарифная ставка на покрытие расходов специализированных организаций, связанных с выполнением работ по установке приборов учета газа.</w:t>
      </w:r>
    </w:p>
    <w:p>
      <w:pPr>
        <w:pStyle w:val="0"/>
        <w:spacing w:before="240" w:lineRule="auto"/>
        <w:ind w:firstLine="540"/>
        <w:jc w:val="both"/>
      </w:pPr>
      <w:r>
        <w:rPr>
          <w:sz w:val="24"/>
        </w:rPr>
        <w:t xml:space="preserve">34. Единая стандартизированная тарифная ставка на покрытие расходов специализированных организаций, связанных с выполнением работ по замене газоиспользующего оборудования, предназначенного для приготовления и подогрева пищи (плиты газовые, панели варочные (врезные газовые поверхности), комбинированные газоэлектрические плиты, шкафы духовые газовые).</w:t>
      </w:r>
    </w:p>
    <w:p>
      <w:pPr>
        <w:pStyle w:val="0"/>
        <w:spacing w:before="240" w:lineRule="auto"/>
        <w:ind w:firstLine="540"/>
        <w:jc w:val="both"/>
      </w:pPr>
      <w:r>
        <w:rPr>
          <w:sz w:val="24"/>
        </w:rPr>
        <w:t xml:space="preserve">35. Единая стандартизированная тарифная ставка на покрытие расходов специализированных организаций, связанных с выполнением работ по замене газоиспользующего оборудования, предназначенного для отопления и приготовления горячей воды на цели хозяйственных и санитарно-гигиенических нужд (аппараты (котлы двухконтурные) газовые).</w:t>
      </w:r>
    </w:p>
    <w:p>
      <w:pPr>
        <w:pStyle w:val="0"/>
        <w:spacing w:before="240" w:lineRule="auto"/>
        <w:ind w:firstLine="540"/>
        <w:jc w:val="both"/>
      </w:pPr>
      <w:r>
        <w:rPr>
          <w:sz w:val="24"/>
        </w:rPr>
        <w:t xml:space="preserve">36. Единая стандартизированная тарифная ставка на покрытие расходов специализированных организаций, связанных с выполнением работ по замене газоиспользующего оборудования, предназначенного для отопления (котлы газовые отопительные (одноконтурные) и аппараты водонагревательные емкостные газовые (водонагреватели емкостные газовые) одноконтурные, конвекторы отопительные газовые (газовые конвекторы), устройства газогорелочные для отопительных печей (печные горелки).</w:t>
      </w:r>
    </w:p>
    <w:p>
      <w:pPr>
        <w:pStyle w:val="0"/>
        <w:spacing w:before="240" w:lineRule="auto"/>
        <w:ind w:firstLine="540"/>
        <w:jc w:val="both"/>
      </w:pPr>
      <w:r>
        <w:rPr>
          <w:sz w:val="24"/>
        </w:rPr>
        <w:t xml:space="preserve">37. Единая стандартизированная тарифная ставка на покрытие расходов специализированных организаций, связанных с выполнением работ по замене газоиспользующего оборудования, предназначенного для приготовления горячей воды на цели хозяйственных и санитарно-гигиенических нужд (водонагреватели газовые мгновенного действия (водонагреватели проточные газовые), аппараты водонагревательные емкостные газовые (водонагреватели емкостные газовые).</w:t>
      </w:r>
    </w:p>
    <w:p>
      <w:pPr>
        <w:pStyle w:val="0"/>
        <w:spacing w:before="240" w:lineRule="auto"/>
        <w:ind w:firstLine="540"/>
        <w:jc w:val="both"/>
      </w:pPr>
      <w:r>
        <w:rPr>
          <w:sz w:val="24"/>
        </w:rPr>
        <w:t xml:space="preserve">38. Единая стандартизированная тарифная ставка на покрытие расходов специализированных организаций, связанных с выполнением работ по замене приборов учета газа.</w:t>
      </w:r>
    </w:p>
    <w:p>
      <w:pPr>
        <w:pStyle w:val="0"/>
        <w:spacing w:before="240" w:lineRule="auto"/>
        <w:ind w:firstLine="540"/>
        <w:jc w:val="both"/>
      </w:pPr>
      <w:r>
        <w:rPr>
          <w:sz w:val="24"/>
        </w:rPr>
        <w:t xml:space="preserve">39.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баллонной установки сжиженных углеводородных газов.</w:t>
      </w:r>
    </w:p>
    <w:p>
      <w:pPr>
        <w:pStyle w:val="0"/>
        <w:spacing w:before="240" w:lineRule="auto"/>
        <w:ind w:firstLine="540"/>
        <w:jc w:val="both"/>
      </w:pPr>
      <w:r>
        <w:rPr>
          <w:sz w:val="24"/>
        </w:rPr>
        <w:t xml:space="preserve">40. Единая стандартизированная тарифная ставка На покрытие расходов специализированных организаций, связанных с выполнением работ по техническому обслуживанию резервуарной установки сжиженных углеводородных газов.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bookmarkStart w:id="258" w:name="P258"/>
    <w:bookmarkEnd w:id="258"/>
    <w:p>
      <w:pPr>
        <w:pStyle w:val="0"/>
        <w:outlineLvl w:val="1"/>
        <w:jc w:val="right"/>
      </w:pPr>
      <w:r>
        <w:rPr>
          <w:sz w:val="24"/>
        </w:rPr>
        <w:t xml:space="preserve">Приложение N 2</w:t>
      </w:r>
    </w:p>
    <w:p>
      <w:pPr>
        <w:pStyle w:val="0"/>
        <w:jc w:val="right"/>
      </w:pPr>
      <w:r>
        <w:rPr>
          <w:sz w:val="24"/>
        </w:rPr>
        <w:t xml:space="preserve">к Методическим указаниям</w:t>
      </w:r>
    </w:p>
    <w:p>
      <w:pPr>
        <w:pStyle w:val="0"/>
        <w:jc w:val="right"/>
      </w:pPr>
      <w:r>
        <w:rPr>
          <w:sz w:val="24"/>
        </w:rPr>
        <w:t xml:space="preserve">по расчету размера платы</w:t>
      </w:r>
    </w:p>
    <w:p>
      <w:pPr>
        <w:pStyle w:val="0"/>
        <w:jc w:val="right"/>
      </w:pPr>
      <w:r>
        <w:rPr>
          <w:sz w:val="24"/>
        </w:rPr>
        <w:t xml:space="preserve">за предусмотренные утвержденным</w:t>
      </w:r>
    </w:p>
    <w:p>
      <w:pPr>
        <w:pStyle w:val="0"/>
        <w:jc w:val="right"/>
      </w:pPr>
      <w:r>
        <w:rPr>
          <w:sz w:val="24"/>
        </w:rPr>
        <w:t xml:space="preserve">Правительством Российской Федераций</w:t>
      </w:r>
    </w:p>
    <w:p>
      <w:pPr>
        <w:pStyle w:val="0"/>
        <w:jc w:val="right"/>
      </w:pPr>
      <w:r>
        <w:rPr>
          <w:sz w:val="24"/>
        </w:rPr>
        <w:t xml:space="preserve">минимальным перечнем услуг (работ)</w:t>
      </w:r>
    </w:p>
    <w:p>
      <w:pPr>
        <w:pStyle w:val="0"/>
        <w:jc w:val="right"/>
      </w:pPr>
      <w:r>
        <w:rPr>
          <w:sz w:val="24"/>
        </w:rPr>
        <w:t xml:space="preserve">по техническому обслуживанию</w:t>
      </w:r>
    </w:p>
    <w:p>
      <w:pPr>
        <w:pStyle w:val="0"/>
        <w:jc w:val="right"/>
      </w:pPr>
      <w:r>
        <w:rPr>
          <w:sz w:val="24"/>
        </w:rPr>
        <w:t xml:space="preserve">и ремонту внутридомового газового</w:t>
      </w:r>
    </w:p>
    <w:p>
      <w:pPr>
        <w:pStyle w:val="0"/>
        <w:jc w:val="right"/>
      </w:pPr>
      <w:r>
        <w:rPr>
          <w:sz w:val="24"/>
        </w:rPr>
        <w:t xml:space="preserve">оборудования в многоквартирном</w:t>
      </w:r>
    </w:p>
    <w:p>
      <w:pPr>
        <w:pStyle w:val="0"/>
        <w:jc w:val="right"/>
      </w:pPr>
      <w:r>
        <w:rPr>
          <w:sz w:val="24"/>
        </w:rPr>
        <w:t xml:space="preserve">доме, внутриквартирного газового</w:t>
      </w:r>
    </w:p>
    <w:p>
      <w:pPr>
        <w:pStyle w:val="0"/>
        <w:jc w:val="right"/>
      </w:pPr>
      <w:r>
        <w:rPr>
          <w:sz w:val="24"/>
        </w:rPr>
        <w:t xml:space="preserve">оборудования в многоквартирном доме</w:t>
      </w:r>
    </w:p>
    <w:p>
      <w:pPr>
        <w:pStyle w:val="0"/>
        <w:jc w:val="right"/>
      </w:pPr>
      <w:r>
        <w:rPr>
          <w:sz w:val="24"/>
        </w:rPr>
        <w:t xml:space="preserve">и внутридомового газового оборудования</w:t>
      </w:r>
    </w:p>
    <w:p>
      <w:pPr>
        <w:pStyle w:val="0"/>
        <w:jc w:val="right"/>
      </w:pPr>
      <w:r>
        <w:rPr>
          <w:sz w:val="24"/>
        </w:rPr>
        <w:t xml:space="preserve">в жилом доме техническое обслуживание,</w:t>
      </w:r>
    </w:p>
    <w:p>
      <w:pPr>
        <w:pStyle w:val="0"/>
        <w:jc w:val="right"/>
      </w:pPr>
      <w:r>
        <w:rPr>
          <w:sz w:val="24"/>
        </w:rPr>
        <w:t xml:space="preserve">установку (за исключением случаев,</w:t>
      </w:r>
    </w:p>
    <w:p>
      <w:pPr>
        <w:pStyle w:val="0"/>
        <w:jc w:val="right"/>
      </w:pPr>
      <w:r>
        <w:rPr>
          <w:sz w:val="24"/>
        </w:rPr>
        <w:t xml:space="preserve">предусмотренных правилами</w:t>
      </w:r>
    </w:p>
    <w:p>
      <w:pPr>
        <w:pStyle w:val="0"/>
        <w:jc w:val="right"/>
      </w:pPr>
      <w:r>
        <w:rPr>
          <w:sz w:val="24"/>
        </w:rPr>
        <w:t xml:space="preserve">технологического присоединения</w:t>
      </w:r>
    </w:p>
    <w:p>
      <w:pPr>
        <w:pStyle w:val="0"/>
        <w:jc w:val="right"/>
      </w:pPr>
      <w:r>
        <w:rPr>
          <w:sz w:val="24"/>
        </w:rPr>
        <w:t xml:space="preserve">газоиспользующего оборудования</w:t>
      </w:r>
    </w:p>
    <w:p>
      <w:pPr>
        <w:pStyle w:val="0"/>
        <w:jc w:val="right"/>
      </w:pPr>
      <w:r>
        <w:rPr>
          <w:sz w:val="24"/>
        </w:rPr>
        <w:t xml:space="preserve">к газораспределительным сетям)</w:t>
      </w:r>
    </w:p>
    <w:p>
      <w:pPr>
        <w:pStyle w:val="0"/>
        <w:jc w:val="right"/>
      </w:pPr>
      <w:r>
        <w:rPr>
          <w:sz w:val="24"/>
        </w:rPr>
        <w:t xml:space="preserve">и замену внутридомового</w:t>
      </w:r>
    </w:p>
    <w:p>
      <w:pPr>
        <w:pStyle w:val="0"/>
        <w:jc w:val="right"/>
      </w:pPr>
      <w:r>
        <w:rPr>
          <w:sz w:val="24"/>
        </w:rPr>
        <w:t xml:space="preserve">и внутриквартирного</w:t>
      </w:r>
    </w:p>
    <w:p>
      <w:pPr>
        <w:pStyle w:val="0"/>
        <w:jc w:val="right"/>
      </w:pPr>
      <w:r>
        <w:rPr>
          <w:sz w:val="24"/>
        </w:rPr>
        <w:t xml:space="preserve">газового оборудования</w:t>
      </w:r>
    </w:p>
    <w:p>
      <w:pPr>
        <w:pStyle w:val="0"/>
        <w:jc w:val="right"/>
      </w:pPr>
      <w:r>
        <w:rPr>
          <w:sz w:val="24"/>
        </w:rPr>
      </w:r>
    </w:p>
    <w:p>
      <w:pPr>
        <w:pStyle w:val="2"/>
        <w:outlineLvl w:val="2"/>
        <w:jc w:val="center"/>
      </w:pPr>
      <w:r>
        <w:rPr>
          <w:sz w:val="24"/>
        </w:rPr>
        <w:t xml:space="preserve">I. Состав мероприятий по техническому обслуживанию</w:t>
      </w:r>
    </w:p>
    <w:p>
      <w:pPr>
        <w:pStyle w:val="2"/>
        <w:jc w:val="center"/>
      </w:pPr>
      <w:r>
        <w:rPr>
          <w:sz w:val="24"/>
        </w:rPr>
        <w:t xml:space="preserve">внутридомового газового оборудования в жилом доме</w:t>
      </w:r>
    </w:p>
    <w:p>
      <w:pPr>
        <w:pStyle w:val="0"/>
        <w:jc w:val="center"/>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4"/>
        <w:gridCol w:w="3572"/>
        <w:gridCol w:w="1191"/>
        <w:gridCol w:w="1361"/>
        <w:gridCol w:w="2154"/>
      </w:tblGrid>
      <w:tr>
        <w:tc>
          <w:tcPr>
            <w:tcW w:w="794" w:type="dxa"/>
          </w:tcPr>
          <w:p>
            <w:pPr>
              <w:pStyle w:val="0"/>
              <w:jc w:val="center"/>
            </w:pPr>
            <w:r>
              <w:rPr>
                <w:sz w:val="24"/>
              </w:rPr>
              <w:t xml:space="preserve">N пункта</w:t>
            </w:r>
          </w:p>
        </w:tc>
        <w:tc>
          <w:tcPr>
            <w:tcW w:w="3572" w:type="dxa"/>
          </w:tcPr>
          <w:p>
            <w:pPr>
              <w:pStyle w:val="0"/>
              <w:jc w:val="center"/>
            </w:pPr>
            <w:r>
              <w:rPr>
                <w:sz w:val="24"/>
              </w:rPr>
              <w:t xml:space="preserve">Мероприятия</w:t>
            </w:r>
          </w:p>
        </w:tc>
        <w:tc>
          <w:tcPr>
            <w:tcW w:w="1191" w:type="dxa"/>
          </w:tcPr>
          <w:p>
            <w:pPr>
              <w:pStyle w:val="0"/>
              <w:jc w:val="center"/>
            </w:pPr>
            <w:r>
              <w:rPr>
                <w:sz w:val="24"/>
              </w:rPr>
              <w:t xml:space="preserve">Единица измерения</w:t>
            </w:r>
          </w:p>
        </w:tc>
        <w:tc>
          <w:tcPr>
            <w:tcW w:w="1361" w:type="dxa"/>
          </w:tcPr>
          <w:p>
            <w:pPr>
              <w:pStyle w:val="0"/>
              <w:jc w:val="center"/>
            </w:pPr>
            <w:r>
              <w:rPr>
                <w:sz w:val="24"/>
              </w:rPr>
              <w:t xml:space="preserve">Норма времени, человеко-часов</w:t>
            </w:r>
          </w:p>
        </w:tc>
        <w:tc>
          <w:tcPr>
            <w:tcW w:w="2154" w:type="dxa"/>
          </w:tcPr>
          <w:p>
            <w:pPr>
              <w:pStyle w:val="0"/>
              <w:jc w:val="center"/>
            </w:pPr>
            <w:r>
              <w:rPr>
                <w:sz w:val="24"/>
              </w:rPr>
              <w:t xml:space="preserve">Работник</w:t>
            </w:r>
          </w:p>
        </w:tc>
      </w:tr>
      <w:tr>
        <w:tc>
          <w:tcPr>
            <w:tcW w:w="794" w:type="dxa"/>
          </w:tcPr>
          <w:p>
            <w:pPr>
              <w:pStyle w:val="0"/>
              <w:jc w:val="center"/>
            </w:pPr>
            <w:r>
              <w:rPr>
                <w:sz w:val="24"/>
              </w:rPr>
              <w:t xml:space="preserve">1</w:t>
            </w:r>
          </w:p>
        </w:tc>
        <w:tc>
          <w:tcPr>
            <w:tcW w:w="3572" w:type="dxa"/>
          </w:tcPr>
          <w:p>
            <w:pPr>
              <w:pStyle w:val="0"/>
              <w:jc w:val="center"/>
            </w:pPr>
            <w:r>
              <w:rPr>
                <w:sz w:val="24"/>
              </w:rPr>
              <w:t xml:space="preserve">2</w:t>
            </w:r>
          </w:p>
        </w:tc>
        <w:tc>
          <w:tcPr>
            <w:tcW w:w="1191" w:type="dxa"/>
          </w:tcPr>
          <w:p>
            <w:pPr>
              <w:pStyle w:val="0"/>
              <w:jc w:val="center"/>
            </w:pPr>
            <w:r>
              <w:rPr>
                <w:sz w:val="24"/>
              </w:rPr>
              <w:t xml:space="preserve">3</w:t>
            </w:r>
          </w:p>
        </w:tc>
        <w:tc>
          <w:tcPr>
            <w:tcW w:w="1361" w:type="dxa"/>
          </w:tcPr>
          <w:p>
            <w:pPr>
              <w:pStyle w:val="0"/>
              <w:jc w:val="center"/>
            </w:pPr>
            <w:r>
              <w:rPr>
                <w:sz w:val="24"/>
              </w:rPr>
              <w:t xml:space="preserve">4</w:t>
            </w:r>
          </w:p>
        </w:tc>
        <w:tc>
          <w:tcPr>
            <w:tcW w:w="2154" w:type="dxa"/>
          </w:tcPr>
          <w:p>
            <w:pPr>
              <w:pStyle w:val="0"/>
              <w:jc w:val="center"/>
            </w:pPr>
            <w:r>
              <w:rPr>
                <w:sz w:val="24"/>
              </w:rPr>
              <w:t xml:space="preserve">5</w:t>
            </w:r>
          </w:p>
        </w:tc>
      </w:tr>
      <w:tr>
        <w:tc>
          <w:tcPr>
            <w:tcW w:w="794" w:type="dxa"/>
            <w:vAlign w:val="center"/>
          </w:tcPr>
          <w:p>
            <w:pPr>
              <w:pStyle w:val="0"/>
              <w:jc w:val="center"/>
            </w:pPr>
            <w:r>
              <w:rPr>
                <w:sz w:val="24"/>
              </w:rPr>
              <w:t xml:space="preserve">1.</w:t>
            </w:r>
          </w:p>
        </w:tc>
        <w:tc>
          <w:tcPr>
            <w:tcW w:w="3572" w:type="dxa"/>
            <w:vAlign w:val="center"/>
          </w:tcPr>
          <w:p>
            <w:pPr>
              <w:pStyle w:val="0"/>
              <w:jc w:val="center"/>
            </w:pPr>
            <w:r>
              <w:rPr>
                <w:sz w:val="24"/>
              </w:rPr>
              <w:t xml:space="preserve">Выполнение работ по техническому обслуживанию бытового газоиспользующего оборудования, предназначенного для приготовления и подогрева пищи (плиты газовые, панели варочные (врезные газовые поверхности), комбинированные газоэлектрические плиты, шкафы духовые газовые)</w:t>
            </w:r>
          </w:p>
        </w:tc>
        <w:tc>
          <w:tcPr>
            <w:tcW w:w="1191" w:type="dxa"/>
            <w:vAlign w:val="center"/>
          </w:tcPr>
          <w:p>
            <w:pPr>
              <w:pStyle w:val="0"/>
              <w:jc w:val="center"/>
            </w:pPr>
            <w:r>
              <w:rPr>
                <w:sz w:val="24"/>
              </w:rPr>
              <w:t xml:space="preserve">Штуки (Далее - шт.)</w:t>
            </w:r>
          </w:p>
        </w:tc>
        <w:tc>
          <w:tcPr>
            <w:tcW w:w="1361" w:type="dxa"/>
            <w:vAlign w:val="center"/>
          </w:tcPr>
          <w:p>
            <w:pPr>
              <w:pStyle w:val="0"/>
              <w:jc w:val="center"/>
            </w:pPr>
            <w:r>
              <w:rPr>
                <w:sz w:val="24"/>
              </w:rPr>
              <w:t xml:space="preserve">0,81</w:t>
            </w:r>
          </w:p>
        </w:tc>
        <w:tc>
          <w:tcPr>
            <w:tcW w:w="2154"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2.</w:t>
            </w:r>
          </w:p>
        </w:tc>
        <w:tc>
          <w:tcPr>
            <w:tcW w:w="3572" w:type="dxa"/>
            <w:vAlign w:val="center"/>
          </w:tcPr>
          <w:p>
            <w:pPr>
              <w:pStyle w:val="0"/>
              <w:jc w:val="center"/>
            </w:pPr>
            <w:r>
              <w:rPr>
                <w:sz w:val="24"/>
              </w:rPr>
              <w:t xml:space="preserve">Выполнение работ по техническому обслуживанию бытового газоиспользующего оборудования, предназначенного для приготовления горячей воды на цели хозяйственных и санитарно-гигиенических нужд (водонагреватели газовые мгновенного действия (водонагреватели проточные газовые), аппараты водонагревательные емкостные газовые бытовые (водонагреватели емкостные газовые)</w:t>
            </w:r>
          </w:p>
        </w:tc>
        <w:tc>
          <w:tcPr>
            <w:tcW w:w="1191" w:type="dxa"/>
            <w:vAlign w:val="center"/>
          </w:tcPr>
          <w:p>
            <w:pPr>
              <w:pStyle w:val="0"/>
              <w:jc w:val="center"/>
            </w:pPr>
            <w:r>
              <w:rPr>
                <w:sz w:val="24"/>
              </w:rPr>
              <w:t xml:space="preserve">шт.</w:t>
            </w:r>
          </w:p>
        </w:tc>
        <w:tc>
          <w:tcPr>
            <w:tcW w:w="1361" w:type="dxa"/>
            <w:vAlign w:val="center"/>
          </w:tcPr>
          <w:p>
            <w:pPr>
              <w:pStyle w:val="0"/>
              <w:jc w:val="center"/>
            </w:pPr>
            <w:r>
              <w:rPr>
                <w:sz w:val="24"/>
              </w:rPr>
              <w:t xml:space="preserve">1,01</w:t>
            </w:r>
          </w:p>
        </w:tc>
        <w:tc>
          <w:tcPr>
            <w:tcW w:w="2154"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3.</w:t>
            </w:r>
          </w:p>
        </w:tc>
        <w:tc>
          <w:tcPr>
            <w:tcW w:w="3572" w:type="dxa"/>
            <w:vAlign w:val="center"/>
          </w:tcPr>
          <w:p>
            <w:pPr>
              <w:pStyle w:val="0"/>
              <w:jc w:val="center"/>
            </w:pPr>
            <w:r>
              <w:rPr>
                <w:sz w:val="24"/>
              </w:rPr>
              <w:t xml:space="preserve">Выполнение работ по техническому обслуживанию бытового газоиспользующего оборудования, предназначенного для индивидуального отопления (котлы газовые отопительные (одноконтурные) и аппараты водонагревательные емкостные газовые бытовые (водонагреватели емкостные газовые) одноконтурные, конвекторы отопительные газовые бытовые (газовые конвекторы), устройства газогорелочные для отопительных печей (печные горелки)</w:t>
            </w:r>
          </w:p>
        </w:tc>
        <w:tc>
          <w:tcPr>
            <w:tcW w:w="1191" w:type="dxa"/>
            <w:vAlign w:val="center"/>
          </w:tcPr>
          <w:p>
            <w:pPr>
              <w:pStyle w:val="0"/>
              <w:jc w:val="center"/>
            </w:pPr>
            <w:r>
              <w:rPr>
                <w:sz w:val="24"/>
              </w:rPr>
              <w:t xml:space="preserve">шт.</w:t>
            </w:r>
          </w:p>
        </w:tc>
        <w:tc>
          <w:tcPr>
            <w:tcW w:w="1361" w:type="dxa"/>
            <w:vAlign w:val="center"/>
          </w:tcPr>
          <w:p>
            <w:pPr>
              <w:pStyle w:val="0"/>
              <w:jc w:val="center"/>
            </w:pPr>
            <w:r>
              <w:rPr>
                <w:sz w:val="24"/>
              </w:rPr>
              <w:t xml:space="preserve">1,11</w:t>
            </w:r>
          </w:p>
        </w:tc>
        <w:tc>
          <w:tcPr>
            <w:tcW w:w="2154"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4.</w:t>
            </w:r>
          </w:p>
        </w:tc>
        <w:tc>
          <w:tcPr>
            <w:tcW w:w="3572" w:type="dxa"/>
            <w:vAlign w:val="center"/>
          </w:tcPr>
          <w:p>
            <w:pPr>
              <w:pStyle w:val="0"/>
              <w:jc w:val="center"/>
            </w:pPr>
            <w:r>
              <w:rPr>
                <w:sz w:val="24"/>
              </w:rPr>
              <w:t xml:space="preserve">Выполнение работ по техническому обслуживанию бытового газоиспользующего оборудования, предназначенного для индивидуального отопления и приготовления горячей воды на цели хозяйственных и санитарно-гигиенических нужд (аппараты (котлы двухконтурные) газовые)</w:t>
            </w:r>
          </w:p>
        </w:tc>
        <w:tc>
          <w:tcPr>
            <w:tcW w:w="1191" w:type="dxa"/>
            <w:vAlign w:val="center"/>
          </w:tcPr>
          <w:p>
            <w:pPr>
              <w:pStyle w:val="0"/>
              <w:jc w:val="center"/>
            </w:pPr>
            <w:r>
              <w:rPr>
                <w:sz w:val="24"/>
              </w:rPr>
              <w:t xml:space="preserve">шт.</w:t>
            </w:r>
          </w:p>
        </w:tc>
        <w:tc>
          <w:tcPr>
            <w:tcW w:w="1361" w:type="dxa"/>
            <w:vAlign w:val="center"/>
          </w:tcPr>
          <w:p>
            <w:pPr>
              <w:pStyle w:val="0"/>
              <w:jc w:val="center"/>
            </w:pPr>
            <w:r>
              <w:rPr>
                <w:sz w:val="24"/>
              </w:rPr>
              <w:t xml:space="preserve">1,31</w:t>
            </w:r>
          </w:p>
        </w:tc>
        <w:tc>
          <w:tcPr>
            <w:tcW w:w="2154" w:type="dxa"/>
            <w:vAlign w:val="center"/>
          </w:tcPr>
          <w:p>
            <w:pPr>
              <w:pStyle w:val="0"/>
              <w:jc w:val="center"/>
            </w:pPr>
            <w:r>
              <w:rPr>
                <w:sz w:val="24"/>
              </w:rPr>
              <w:t xml:space="preserve">Слесарь по эксплуатации и ремонту внутридомового и внугриквартирного газового оборудования</w:t>
            </w:r>
          </w:p>
        </w:tc>
      </w:tr>
      <w:tr>
        <w:tc>
          <w:tcPr>
            <w:tcW w:w="794" w:type="dxa"/>
            <w:vAlign w:val="center"/>
          </w:tcPr>
          <w:p>
            <w:pPr>
              <w:pStyle w:val="0"/>
              <w:jc w:val="center"/>
            </w:pPr>
            <w:r>
              <w:rPr>
                <w:sz w:val="24"/>
              </w:rPr>
              <w:t xml:space="preserve">5.</w:t>
            </w:r>
          </w:p>
        </w:tc>
        <w:tc>
          <w:tcPr>
            <w:tcW w:w="3572" w:type="dxa"/>
            <w:vAlign w:val="center"/>
          </w:tcPr>
          <w:p>
            <w:pPr>
              <w:pStyle w:val="0"/>
              <w:jc w:val="center"/>
            </w:pPr>
            <w:r>
              <w:rPr>
                <w:sz w:val="24"/>
              </w:rPr>
              <w:t xml:space="preserve">Выполнение работ по техническому обслуживанию внутренних газопроводов</w:t>
            </w:r>
          </w:p>
        </w:tc>
        <w:tc>
          <w:tcPr>
            <w:tcW w:w="1191" w:type="dxa"/>
            <w:vAlign w:val="center"/>
          </w:tcPr>
          <w:p>
            <w:pPr>
              <w:pStyle w:val="0"/>
              <w:jc w:val="center"/>
            </w:pPr>
            <w:r>
              <w:rPr>
                <w:sz w:val="24"/>
              </w:rPr>
              <w:t xml:space="preserve">шт.</w:t>
            </w:r>
          </w:p>
        </w:tc>
        <w:tc>
          <w:tcPr>
            <w:tcW w:w="1361" w:type="dxa"/>
            <w:vAlign w:val="center"/>
          </w:tcPr>
          <w:p>
            <w:pPr>
              <w:pStyle w:val="0"/>
              <w:jc w:val="center"/>
            </w:pPr>
            <w:r>
              <w:rPr>
                <w:sz w:val="24"/>
              </w:rPr>
              <w:t xml:space="preserve">0,33</w:t>
            </w:r>
          </w:p>
        </w:tc>
        <w:tc>
          <w:tcPr>
            <w:tcW w:w="2154"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6.</w:t>
            </w:r>
          </w:p>
        </w:tc>
        <w:tc>
          <w:tcPr>
            <w:tcW w:w="3572" w:type="dxa"/>
            <w:vAlign w:val="center"/>
          </w:tcPr>
          <w:p>
            <w:pPr>
              <w:pStyle w:val="0"/>
              <w:jc w:val="center"/>
            </w:pPr>
            <w:r>
              <w:rPr>
                <w:sz w:val="24"/>
              </w:rPr>
              <w:t xml:space="preserve">Выполнение работ по техническому обслуживанию наружных (надземных, фасадных) газопроводов</w:t>
            </w:r>
          </w:p>
        </w:tc>
        <w:tc>
          <w:tcPr>
            <w:tcW w:w="1191" w:type="dxa"/>
            <w:vAlign w:val="center"/>
          </w:tcPr>
          <w:p>
            <w:pPr>
              <w:pStyle w:val="0"/>
              <w:jc w:val="center"/>
            </w:pPr>
            <w:r>
              <w:rPr>
                <w:sz w:val="24"/>
              </w:rPr>
              <w:t xml:space="preserve">шт.</w:t>
            </w:r>
          </w:p>
        </w:tc>
        <w:tc>
          <w:tcPr>
            <w:tcW w:w="1361" w:type="dxa"/>
            <w:vAlign w:val="center"/>
          </w:tcPr>
          <w:p>
            <w:pPr>
              <w:pStyle w:val="0"/>
              <w:jc w:val="center"/>
            </w:pPr>
            <w:r>
              <w:rPr>
                <w:sz w:val="24"/>
              </w:rPr>
              <w:t xml:space="preserve">0,33</w:t>
            </w:r>
          </w:p>
        </w:tc>
        <w:tc>
          <w:tcPr>
            <w:tcW w:w="2154"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7.</w:t>
            </w:r>
          </w:p>
        </w:tc>
        <w:tc>
          <w:tcPr>
            <w:tcW w:w="3572" w:type="dxa"/>
            <w:vAlign w:val="center"/>
          </w:tcPr>
          <w:p>
            <w:pPr>
              <w:pStyle w:val="0"/>
              <w:jc w:val="center"/>
            </w:pPr>
            <w:r>
              <w:rPr>
                <w:sz w:val="24"/>
              </w:rPr>
              <w:t xml:space="preserve">Выполнение работ по техническому обслуживанию наружных (подземных) газопроводов</w:t>
            </w:r>
          </w:p>
        </w:tc>
        <w:tc>
          <w:tcPr>
            <w:tcW w:w="1191" w:type="dxa"/>
            <w:vAlign w:val="center"/>
          </w:tcPr>
          <w:p>
            <w:pPr>
              <w:pStyle w:val="0"/>
              <w:jc w:val="center"/>
            </w:pPr>
            <w:r>
              <w:rPr>
                <w:sz w:val="24"/>
              </w:rPr>
              <w:t xml:space="preserve">шт.</w:t>
            </w:r>
          </w:p>
        </w:tc>
        <w:tc>
          <w:tcPr>
            <w:tcW w:w="1361" w:type="dxa"/>
            <w:vAlign w:val="center"/>
          </w:tcPr>
          <w:p>
            <w:pPr>
              <w:pStyle w:val="0"/>
              <w:jc w:val="center"/>
            </w:pPr>
            <w:r>
              <w:rPr>
                <w:sz w:val="24"/>
              </w:rPr>
              <w:t xml:space="preserve">0,22</w:t>
            </w:r>
          </w:p>
        </w:tc>
        <w:tc>
          <w:tcPr>
            <w:tcW w:w="2154"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8.</w:t>
            </w:r>
          </w:p>
        </w:tc>
        <w:tc>
          <w:tcPr>
            <w:tcW w:w="3572" w:type="dxa"/>
            <w:vAlign w:val="center"/>
          </w:tcPr>
          <w:p>
            <w:pPr>
              <w:pStyle w:val="0"/>
              <w:jc w:val="center"/>
            </w:pPr>
            <w:r>
              <w:rPr>
                <w:sz w:val="24"/>
              </w:rPr>
              <w:t xml:space="preserve">Выполнение работ по техническому обслуживанию отключающих устройств, установленных на газопроводах</w:t>
            </w:r>
          </w:p>
        </w:tc>
        <w:tc>
          <w:tcPr>
            <w:tcW w:w="1191" w:type="dxa"/>
            <w:vAlign w:val="center"/>
          </w:tcPr>
          <w:p>
            <w:pPr>
              <w:pStyle w:val="0"/>
              <w:jc w:val="center"/>
            </w:pPr>
            <w:r>
              <w:rPr>
                <w:sz w:val="24"/>
              </w:rPr>
              <w:t xml:space="preserve">шт.</w:t>
            </w:r>
          </w:p>
        </w:tc>
        <w:tc>
          <w:tcPr>
            <w:tcW w:w="1361" w:type="dxa"/>
            <w:vAlign w:val="center"/>
          </w:tcPr>
          <w:p>
            <w:pPr>
              <w:pStyle w:val="0"/>
              <w:jc w:val="center"/>
            </w:pPr>
            <w:r>
              <w:rPr>
                <w:sz w:val="24"/>
              </w:rPr>
              <w:t xml:space="preserve">0,19</w:t>
            </w:r>
          </w:p>
        </w:tc>
        <w:tc>
          <w:tcPr>
            <w:tcW w:w="2154"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9.</w:t>
            </w:r>
          </w:p>
        </w:tc>
        <w:tc>
          <w:tcPr>
            <w:tcW w:w="3572" w:type="dxa"/>
            <w:vAlign w:val="center"/>
          </w:tcPr>
          <w:p>
            <w:pPr>
              <w:pStyle w:val="0"/>
              <w:jc w:val="center"/>
            </w:pPr>
            <w:r>
              <w:rPr>
                <w:sz w:val="24"/>
              </w:rPr>
              <w:t xml:space="preserve">Выполнение работ по техническому обслуживанию системы контроля загазованности</w:t>
            </w:r>
          </w:p>
        </w:tc>
        <w:tc>
          <w:tcPr>
            <w:tcW w:w="1191" w:type="dxa"/>
            <w:vAlign w:val="center"/>
          </w:tcPr>
          <w:p>
            <w:pPr>
              <w:pStyle w:val="0"/>
              <w:jc w:val="center"/>
            </w:pPr>
            <w:r>
              <w:rPr>
                <w:sz w:val="24"/>
              </w:rPr>
              <w:t xml:space="preserve">шт.</w:t>
            </w:r>
          </w:p>
        </w:tc>
        <w:tc>
          <w:tcPr>
            <w:tcW w:w="1361" w:type="dxa"/>
            <w:vAlign w:val="center"/>
          </w:tcPr>
          <w:p>
            <w:pPr>
              <w:pStyle w:val="0"/>
              <w:jc w:val="center"/>
            </w:pPr>
            <w:r>
              <w:rPr>
                <w:sz w:val="24"/>
              </w:rPr>
              <w:t xml:space="preserve">0,11</w:t>
            </w:r>
          </w:p>
        </w:tc>
        <w:tc>
          <w:tcPr>
            <w:tcW w:w="2154"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10.</w:t>
            </w:r>
          </w:p>
        </w:tc>
        <w:tc>
          <w:tcPr>
            <w:tcW w:w="3572" w:type="dxa"/>
            <w:vAlign w:val="center"/>
          </w:tcPr>
          <w:p>
            <w:pPr>
              <w:pStyle w:val="0"/>
              <w:jc w:val="center"/>
            </w:pPr>
            <w:r>
              <w:rPr>
                <w:sz w:val="24"/>
              </w:rPr>
              <w:t xml:space="preserve">Выполнение работ по техническому обслуживанию электроизолирующих соединений, установленных на внутренних газопроводах</w:t>
            </w:r>
          </w:p>
        </w:tc>
        <w:tc>
          <w:tcPr>
            <w:tcW w:w="1191" w:type="dxa"/>
            <w:vAlign w:val="center"/>
          </w:tcPr>
          <w:p>
            <w:pPr>
              <w:pStyle w:val="0"/>
              <w:jc w:val="center"/>
            </w:pPr>
            <w:r>
              <w:rPr>
                <w:sz w:val="24"/>
              </w:rPr>
              <w:t xml:space="preserve">шт.</w:t>
            </w:r>
          </w:p>
        </w:tc>
        <w:tc>
          <w:tcPr>
            <w:tcW w:w="1361" w:type="dxa"/>
            <w:vAlign w:val="center"/>
          </w:tcPr>
          <w:p>
            <w:pPr>
              <w:pStyle w:val="0"/>
              <w:jc w:val="center"/>
            </w:pPr>
            <w:r>
              <w:rPr>
                <w:sz w:val="24"/>
              </w:rPr>
              <w:t xml:space="preserve">0,07</w:t>
            </w:r>
          </w:p>
        </w:tc>
        <w:tc>
          <w:tcPr>
            <w:tcW w:w="2154"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11.</w:t>
            </w:r>
          </w:p>
        </w:tc>
        <w:tc>
          <w:tcPr>
            <w:tcW w:w="3572" w:type="dxa"/>
            <w:vAlign w:val="center"/>
          </w:tcPr>
          <w:p>
            <w:pPr>
              <w:pStyle w:val="0"/>
              <w:jc w:val="center"/>
            </w:pPr>
            <w:r>
              <w:rPr>
                <w:sz w:val="24"/>
              </w:rPr>
              <w:t xml:space="preserve">Выполнение работ по техническому обслуживанию электроизолирующих соединений, установленных на наружных газопроводах (надземных, фасадных)</w:t>
            </w:r>
          </w:p>
        </w:tc>
        <w:tc>
          <w:tcPr>
            <w:tcW w:w="1191" w:type="dxa"/>
            <w:vAlign w:val="center"/>
          </w:tcPr>
          <w:p>
            <w:pPr>
              <w:pStyle w:val="0"/>
              <w:jc w:val="center"/>
            </w:pPr>
            <w:r>
              <w:rPr>
                <w:sz w:val="24"/>
              </w:rPr>
              <w:t xml:space="preserve">шт.</w:t>
            </w:r>
          </w:p>
        </w:tc>
        <w:tc>
          <w:tcPr>
            <w:tcW w:w="1361" w:type="dxa"/>
            <w:vAlign w:val="center"/>
          </w:tcPr>
          <w:p>
            <w:pPr>
              <w:pStyle w:val="0"/>
              <w:jc w:val="center"/>
            </w:pPr>
            <w:r>
              <w:rPr>
                <w:sz w:val="24"/>
              </w:rPr>
              <w:t xml:space="preserve">0,08</w:t>
            </w:r>
          </w:p>
        </w:tc>
        <w:tc>
          <w:tcPr>
            <w:tcW w:w="2154"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bl>
    <w:p>
      <w:pPr>
        <w:pStyle w:val="0"/>
        <w:jc w:val="center"/>
      </w:pPr>
      <w:r>
        <w:rPr>
          <w:sz w:val="24"/>
        </w:rPr>
      </w:r>
    </w:p>
    <w:p>
      <w:pPr>
        <w:pStyle w:val="2"/>
        <w:outlineLvl w:val="2"/>
        <w:jc w:val="center"/>
      </w:pPr>
      <w:r>
        <w:rPr>
          <w:sz w:val="24"/>
        </w:rPr>
        <w:t xml:space="preserve">II. Состав мероприятий по техническому обслуживанию</w:t>
      </w:r>
    </w:p>
    <w:p>
      <w:pPr>
        <w:pStyle w:val="2"/>
        <w:jc w:val="center"/>
      </w:pPr>
      <w:r>
        <w:rPr>
          <w:sz w:val="24"/>
        </w:rPr>
        <w:t xml:space="preserve">внутриквартирного газового оборудования</w:t>
      </w:r>
    </w:p>
    <w:p>
      <w:pPr>
        <w:pStyle w:val="2"/>
        <w:jc w:val="center"/>
      </w:pPr>
      <w:r>
        <w:rPr>
          <w:sz w:val="24"/>
        </w:rPr>
        <w:t xml:space="preserve">в многоквартирном доме</w:t>
      </w:r>
    </w:p>
    <w:p>
      <w:pPr>
        <w:pStyle w:val="0"/>
        <w:jc w:val="center"/>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70"/>
        <w:gridCol w:w="3595"/>
        <w:gridCol w:w="1189"/>
        <w:gridCol w:w="1351"/>
        <w:gridCol w:w="2165"/>
      </w:tblGrid>
      <w:tr>
        <w:tc>
          <w:tcPr>
            <w:tcW w:w="770" w:type="dxa"/>
          </w:tcPr>
          <w:p>
            <w:pPr>
              <w:pStyle w:val="0"/>
              <w:jc w:val="center"/>
            </w:pPr>
            <w:r>
              <w:rPr>
                <w:sz w:val="24"/>
              </w:rPr>
              <w:t xml:space="preserve">N пункта</w:t>
            </w:r>
          </w:p>
        </w:tc>
        <w:tc>
          <w:tcPr>
            <w:tcW w:w="3595" w:type="dxa"/>
          </w:tcPr>
          <w:p>
            <w:pPr>
              <w:pStyle w:val="0"/>
              <w:jc w:val="center"/>
            </w:pPr>
            <w:r>
              <w:rPr>
                <w:sz w:val="24"/>
              </w:rPr>
              <w:t xml:space="preserve">Мероприятия</w:t>
            </w:r>
          </w:p>
        </w:tc>
        <w:tc>
          <w:tcPr>
            <w:tcW w:w="1189" w:type="dxa"/>
          </w:tcPr>
          <w:p>
            <w:pPr>
              <w:pStyle w:val="0"/>
              <w:jc w:val="center"/>
            </w:pPr>
            <w:r>
              <w:rPr>
                <w:sz w:val="24"/>
              </w:rPr>
              <w:t xml:space="preserve">Единица измерения</w:t>
            </w:r>
          </w:p>
        </w:tc>
        <w:tc>
          <w:tcPr>
            <w:tcW w:w="1351" w:type="dxa"/>
          </w:tcPr>
          <w:p>
            <w:pPr>
              <w:pStyle w:val="0"/>
              <w:jc w:val="center"/>
            </w:pPr>
            <w:r>
              <w:rPr>
                <w:sz w:val="24"/>
              </w:rPr>
              <w:t xml:space="preserve">Норма времени, человеко-часов</w:t>
            </w:r>
          </w:p>
        </w:tc>
        <w:tc>
          <w:tcPr>
            <w:tcW w:w="2165" w:type="dxa"/>
          </w:tcPr>
          <w:p>
            <w:pPr>
              <w:pStyle w:val="0"/>
              <w:jc w:val="center"/>
            </w:pPr>
            <w:r>
              <w:rPr>
                <w:sz w:val="24"/>
              </w:rPr>
              <w:t xml:space="preserve">Работник</w:t>
            </w:r>
          </w:p>
        </w:tc>
      </w:tr>
      <w:tr>
        <w:tc>
          <w:tcPr>
            <w:tcW w:w="770" w:type="dxa"/>
          </w:tcPr>
          <w:p>
            <w:pPr>
              <w:pStyle w:val="0"/>
              <w:jc w:val="center"/>
            </w:pPr>
            <w:r>
              <w:rPr>
                <w:sz w:val="24"/>
              </w:rPr>
              <w:t xml:space="preserve">1</w:t>
            </w:r>
          </w:p>
        </w:tc>
        <w:tc>
          <w:tcPr>
            <w:tcW w:w="3595" w:type="dxa"/>
          </w:tcPr>
          <w:p>
            <w:pPr>
              <w:pStyle w:val="0"/>
              <w:jc w:val="center"/>
            </w:pPr>
            <w:r>
              <w:rPr>
                <w:sz w:val="24"/>
              </w:rPr>
              <w:t xml:space="preserve">2</w:t>
            </w:r>
          </w:p>
        </w:tc>
        <w:tc>
          <w:tcPr>
            <w:tcW w:w="1189" w:type="dxa"/>
          </w:tcPr>
          <w:p>
            <w:pPr>
              <w:pStyle w:val="0"/>
              <w:jc w:val="center"/>
            </w:pPr>
            <w:r>
              <w:rPr>
                <w:sz w:val="24"/>
              </w:rPr>
              <w:t xml:space="preserve">3</w:t>
            </w:r>
          </w:p>
        </w:tc>
        <w:tc>
          <w:tcPr>
            <w:tcW w:w="1351" w:type="dxa"/>
          </w:tcPr>
          <w:p>
            <w:pPr>
              <w:pStyle w:val="0"/>
              <w:jc w:val="center"/>
            </w:pPr>
            <w:r>
              <w:rPr>
                <w:sz w:val="24"/>
              </w:rPr>
              <w:t xml:space="preserve">4</w:t>
            </w:r>
          </w:p>
        </w:tc>
        <w:tc>
          <w:tcPr>
            <w:tcW w:w="2165" w:type="dxa"/>
          </w:tcPr>
          <w:p>
            <w:pPr>
              <w:pStyle w:val="0"/>
              <w:jc w:val="center"/>
            </w:pPr>
            <w:r>
              <w:rPr>
                <w:sz w:val="24"/>
              </w:rPr>
              <w:t xml:space="preserve">5</w:t>
            </w:r>
          </w:p>
        </w:tc>
      </w:tr>
      <w:tr>
        <w:tc>
          <w:tcPr>
            <w:tcW w:w="770" w:type="dxa"/>
            <w:vAlign w:val="center"/>
          </w:tcPr>
          <w:p>
            <w:pPr>
              <w:pStyle w:val="0"/>
              <w:jc w:val="center"/>
            </w:pPr>
            <w:r>
              <w:rPr>
                <w:sz w:val="24"/>
              </w:rPr>
              <w:t xml:space="preserve">1.</w:t>
            </w:r>
          </w:p>
        </w:tc>
        <w:tc>
          <w:tcPr>
            <w:tcW w:w="3595" w:type="dxa"/>
            <w:vAlign w:val="center"/>
          </w:tcPr>
          <w:p>
            <w:pPr>
              <w:pStyle w:val="0"/>
              <w:jc w:val="center"/>
            </w:pPr>
            <w:r>
              <w:rPr>
                <w:sz w:val="24"/>
              </w:rPr>
              <w:t xml:space="preserve">Выполнение работ по техническому обслуживанию бытового газоиспользующего оборудования, предназначенного для приготовления и подогрева пищи (плиты газовые, панели варочные (врезные газовые поверхности), комбинированные газоэлектрические плиты, шкафы духовые газовые)</w:t>
            </w:r>
          </w:p>
        </w:tc>
        <w:tc>
          <w:tcPr>
            <w:tcW w:w="1189" w:type="dxa"/>
            <w:vAlign w:val="center"/>
          </w:tcPr>
          <w:p>
            <w:pPr>
              <w:pStyle w:val="0"/>
              <w:jc w:val="center"/>
            </w:pPr>
            <w:r>
              <w:rPr>
                <w:sz w:val="24"/>
              </w:rPr>
              <w:t xml:space="preserve">шт.</w:t>
            </w:r>
          </w:p>
        </w:tc>
        <w:tc>
          <w:tcPr>
            <w:tcW w:w="1351" w:type="dxa"/>
            <w:vAlign w:val="center"/>
          </w:tcPr>
          <w:p>
            <w:pPr>
              <w:pStyle w:val="0"/>
              <w:jc w:val="center"/>
            </w:pPr>
            <w:r>
              <w:rPr>
                <w:sz w:val="24"/>
              </w:rPr>
              <w:t xml:space="preserve">0,81</w:t>
            </w:r>
          </w:p>
        </w:tc>
        <w:tc>
          <w:tcPr>
            <w:tcW w:w="2165"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70" w:type="dxa"/>
            <w:vAlign w:val="center"/>
          </w:tcPr>
          <w:p>
            <w:pPr>
              <w:pStyle w:val="0"/>
              <w:jc w:val="center"/>
            </w:pPr>
            <w:r>
              <w:rPr>
                <w:sz w:val="24"/>
              </w:rPr>
              <w:t xml:space="preserve">2.</w:t>
            </w:r>
          </w:p>
        </w:tc>
        <w:tc>
          <w:tcPr>
            <w:tcW w:w="3595" w:type="dxa"/>
            <w:vAlign w:val="center"/>
          </w:tcPr>
          <w:p>
            <w:pPr>
              <w:pStyle w:val="0"/>
              <w:jc w:val="center"/>
            </w:pPr>
            <w:r>
              <w:rPr>
                <w:sz w:val="24"/>
              </w:rPr>
              <w:t xml:space="preserve">Выполнение работ по техническому обслуживанию бытового газоиспользующего оборудования, предназначенного для приготовления горячей воды на цели хозяйственных и санитарно-гигиенических нужд (водонагреватели газовые мгновенного действия (водонагреватели проточные газовые), аппараты водонагревательные емкостные газовые бытовые (водонагреватели емкостные газовые)</w:t>
            </w:r>
          </w:p>
        </w:tc>
        <w:tc>
          <w:tcPr>
            <w:tcW w:w="1189" w:type="dxa"/>
            <w:vAlign w:val="center"/>
          </w:tcPr>
          <w:p>
            <w:pPr>
              <w:pStyle w:val="0"/>
              <w:jc w:val="center"/>
            </w:pPr>
            <w:r>
              <w:rPr>
                <w:sz w:val="24"/>
              </w:rPr>
              <w:t xml:space="preserve">шт.</w:t>
            </w:r>
          </w:p>
        </w:tc>
        <w:tc>
          <w:tcPr>
            <w:tcW w:w="1351" w:type="dxa"/>
            <w:vAlign w:val="center"/>
          </w:tcPr>
          <w:p>
            <w:pPr>
              <w:pStyle w:val="0"/>
              <w:jc w:val="center"/>
            </w:pPr>
            <w:r>
              <w:rPr>
                <w:sz w:val="24"/>
              </w:rPr>
              <w:t xml:space="preserve">1,01</w:t>
            </w:r>
          </w:p>
        </w:tc>
        <w:tc>
          <w:tcPr>
            <w:tcW w:w="2165"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70" w:type="dxa"/>
            <w:vAlign w:val="center"/>
          </w:tcPr>
          <w:p>
            <w:pPr>
              <w:pStyle w:val="0"/>
              <w:jc w:val="center"/>
            </w:pPr>
            <w:r>
              <w:rPr>
                <w:sz w:val="24"/>
              </w:rPr>
              <w:t xml:space="preserve">3.</w:t>
            </w:r>
          </w:p>
        </w:tc>
        <w:tc>
          <w:tcPr>
            <w:tcW w:w="3595" w:type="dxa"/>
            <w:vAlign w:val="center"/>
          </w:tcPr>
          <w:p>
            <w:pPr>
              <w:pStyle w:val="0"/>
              <w:jc w:val="center"/>
            </w:pPr>
            <w:r>
              <w:rPr>
                <w:sz w:val="24"/>
              </w:rPr>
              <w:t xml:space="preserve">Выполнение работ по техническому обслуживанию бытового газоиспользующего оборудования, предназначенного для индивидуального отопления (котлы газовые отопительные (одноконтурные) и аппараты водонагревательные емкостные газовые бытовые (водонагреватели емкостные газовые) одноконтурные, конвекторы отопительные газовые бытовые (газовые конвекторы), устройства газогорелочные для отопительных печей (печные горелки)</w:t>
            </w:r>
          </w:p>
        </w:tc>
        <w:tc>
          <w:tcPr>
            <w:tcW w:w="1189" w:type="dxa"/>
            <w:vAlign w:val="center"/>
          </w:tcPr>
          <w:p>
            <w:pPr>
              <w:pStyle w:val="0"/>
              <w:jc w:val="center"/>
            </w:pPr>
            <w:r>
              <w:rPr>
                <w:sz w:val="24"/>
              </w:rPr>
              <w:t xml:space="preserve">шт.</w:t>
            </w:r>
          </w:p>
        </w:tc>
        <w:tc>
          <w:tcPr>
            <w:tcW w:w="1351" w:type="dxa"/>
            <w:vAlign w:val="center"/>
          </w:tcPr>
          <w:p>
            <w:pPr>
              <w:pStyle w:val="0"/>
              <w:jc w:val="center"/>
            </w:pPr>
            <w:r>
              <w:rPr>
                <w:sz w:val="24"/>
              </w:rPr>
              <w:t xml:space="preserve">1,11</w:t>
            </w:r>
          </w:p>
        </w:tc>
        <w:tc>
          <w:tcPr>
            <w:tcW w:w="2165"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70" w:type="dxa"/>
            <w:vAlign w:val="center"/>
          </w:tcPr>
          <w:p>
            <w:pPr>
              <w:pStyle w:val="0"/>
              <w:jc w:val="center"/>
            </w:pPr>
            <w:r>
              <w:rPr>
                <w:sz w:val="24"/>
              </w:rPr>
              <w:t xml:space="preserve">4.</w:t>
            </w:r>
          </w:p>
        </w:tc>
        <w:tc>
          <w:tcPr>
            <w:tcW w:w="3595" w:type="dxa"/>
            <w:vAlign w:val="center"/>
          </w:tcPr>
          <w:p>
            <w:pPr>
              <w:pStyle w:val="0"/>
              <w:jc w:val="center"/>
            </w:pPr>
            <w:r>
              <w:rPr>
                <w:sz w:val="24"/>
              </w:rPr>
              <w:t xml:space="preserve">Выполнение работ по техническому обслуживанию бытового газоиспользующего оборудования, предназначенного для индивидуального отопления и приготовления горячей воды на цели хозяйственных и санитарно-гигиенических нужд (аппараты (котлы двухконтурные) газовые)</w:t>
            </w:r>
          </w:p>
        </w:tc>
        <w:tc>
          <w:tcPr>
            <w:tcW w:w="1189" w:type="dxa"/>
            <w:vAlign w:val="center"/>
          </w:tcPr>
          <w:p>
            <w:pPr>
              <w:pStyle w:val="0"/>
              <w:jc w:val="center"/>
            </w:pPr>
            <w:r>
              <w:rPr>
                <w:sz w:val="24"/>
              </w:rPr>
              <w:t xml:space="preserve">шт.</w:t>
            </w:r>
          </w:p>
        </w:tc>
        <w:tc>
          <w:tcPr>
            <w:tcW w:w="1351" w:type="dxa"/>
            <w:vAlign w:val="center"/>
          </w:tcPr>
          <w:p>
            <w:pPr>
              <w:pStyle w:val="0"/>
              <w:jc w:val="center"/>
            </w:pPr>
            <w:r>
              <w:rPr>
                <w:sz w:val="24"/>
              </w:rPr>
              <w:t xml:space="preserve">1,31</w:t>
            </w:r>
          </w:p>
        </w:tc>
        <w:tc>
          <w:tcPr>
            <w:tcW w:w="2165"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70" w:type="dxa"/>
            <w:vAlign w:val="center"/>
          </w:tcPr>
          <w:p>
            <w:pPr>
              <w:pStyle w:val="0"/>
              <w:jc w:val="center"/>
            </w:pPr>
            <w:r>
              <w:rPr>
                <w:sz w:val="24"/>
              </w:rPr>
              <w:t xml:space="preserve">5.</w:t>
            </w:r>
          </w:p>
        </w:tc>
        <w:tc>
          <w:tcPr>
            <w:tcW w:w="3595" w:type="dxa"/>
            <w:vAlign w:val="center"/>
          </w:tcPr>
          <w:p>
            <w:pPr>
              <w:pStyle w:val="0"/>
              <w:jc w:val="center"/>
            </w:pPr>
            <w:r>
              <w:rPr>
                <w:sz w:val="24"/>
              </w:rPr>
              <w:t xml:space="preserve">Выполнение работ по техническому обслуживанию Системы контроля загазованности</w:t>
            </w:r>
          </w:p>
        </w:tc>
        <w:tc>
          <w:tcPr>
            <w:tcW w:w="1189" w:type="dxa"/>
            <w:vAlign w:val="center"/>
          </w:tcPr>
          <w:p>
            <w:pPr>
              <w:pStyle w:val="0"/>
              <w:jc w:val="center"/>
            </w:pPr>
            <w:r>
              <w:rPr>
                <w:sz w:val="24"/>
              </w:rPr>
              <w:t xml:space="preserve">шт.</w:t>
            </w:r>
          </w:p>
        </w:tc>
        <w:tc>
          <w:tcPr>
            <w:tcW w:w="1351" w:type="dxa"/>
            <w:vAlign w:val="center"/>
          </w:tcPr>
          <w:p>
            <w:pPr>
              <w:pStyle w:val="0"/>
              <w:jc w:val="center"/>
            </w:pPr>
            <w:r>
              <w:rPr>
                <w:sz w:val="24"/>
              </w:rPr>
              <w:t xml:space="preserve">0,11</w:t>
            </w:r>
          </w:p>
        </w:tc>
        <w:tc>
          <w:tcPr>
            <w:tcW w:w="2165"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70" w:type="dxa"/>
            <w:vAlign w:val="center"/>
          </w:tcPr>
          <w:p>
            <w:pPr>
              <w:pStyle w:val="0"/>
              <w:jc w:val="center"/>
            </w:pPr>
            <w:r>
              <w:rPr>
                <w:sz w:val="24"/>
              </w:rPr>
              <w:t xml:space="preserve">6.</w:t>
            </w:r>
          </w:p>
        </w:tc>
        <w:tc>
          <w:tcPr>
            <w:tcW w:w="3595" w:type="dxa"/>
            <w:vAlign w:val="center"/>
          </w:tcPr>
          <w:p>
            <w:pPr>
              <w:pStyle w:val="0"/>
              <w:jc w:val="center"/>
            </w:pPr>
            <w:r>
              <w:rPr>
                <w:sz w:val="24"/>
              </w:rPr>
              <w:t xml:space="preserve">Выполнение работ по техническому обслуживанию электроизолирующих соединений, установленных на внутренних газопроводах</w:t>
            </w:r>
          </w:p>
        </w:tc>
        <w:tc>
          <w:tcPr>
            <w:tcW w:w="1189" w:type="dxa"/>
            <w:vAlign w:val="center"/>
          </w:tcPr>
          <w:p>
            <w:pPr>
              <w:pStyle w:val="0"/>
              <w:jc w:val="center"/>
            </w:pPr>
            <w:r>
              <w:rPr>
                <w:sz w:val="24"/>
              </w:rPr>
              <w:t xml:space="preserve">шт.</w:t>
            </w:r>
          </w:p>
        </w:tc>
        <w:tc>
          <w:tcPr>
            <w:tcW w:w="1351" w:type="dxa"/>
            <w:vAlign w:val="center"/>
          </w:tcPr>
          <w:p>
            <w:pPr>
              <w:pStyle w:val="0"/>
              <w:jc w:val="center"/>
            </w:pPr>
            <w:r>
              <w:rPr>
                <w:sz w:val="24"/>
              </w:rPr>
              <w:t xml:space="preserve">0,08</w:t>
            </w:r>
          </w:p>
        </w:tc>
        <w:tc>
          <w:tcPr>
            <w:tcW w:w="2165"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bl>
    <w:p>
      <w:pPr>
        <w:pStyle w:val="0"/>
        <w:ind w:firstLine="540"/>
        <w:jc w:val="both"/>
      </w:pPr>
      <w:r>
        <w:rPr>
          <w:sz w:val="24"/>
        </w:rPr>
      </w:r>
    </w:p>
    <w:p>
      <w:pPr>
        <w:pStyle w:val="2"/>
        <w:outlineLvl w:val="2"/>
        <w:jc w:val="center"/>
      </w:pPr>
      <w:r>
        <w:rPr>
          <w:sz w:val="24"/>
        </w:rPr>
        <w:t xml:space="preserve">III. Состав мероприятий по техническому обслуживанию</w:t>
      </w:r>
    </w:p>
    <w:p>
      <w:pPr>
        <w:pStyle w:val="2"/>
        <w:jc w:val="center"/>
      </w:pPr>
      <w:r>
        <w:rPr>
          <w:sz w:val="24"/>
        </w:rPr>
        <w:t xml:space="preserve">внутридомового газового оборудования</w:t>
      </w:r>
    </w:p>
    <w:p>
      <w:pPr>
        <w:pStyle w:val="2"/>
        <w:jc w:val="center"/>
      </w:pPr>
      <w:r>
        <w:rPr>
          <w:sz w:val="24"/>
        </w:rPr>
        <w:t xml:space="preserve">в многоквартирном доме</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4"/>
        <w:gridCol w:w="3557"/>
        <w:gridCol w:w="1217"/>
        <w:gridCol w:w="1310"/>
        <w:gridCol w:w="2190"/>
      </w:tblGrid>
      <w:tr>
        <w:tc>
          <w:tcPr>
            <w:tcW w:w="794" w:type="dxa"/>
          </w:tcPr>
          <w:p>
            <w:pPr>
              <w:pStyle w:val="0"/>
              <w:jc w:val="center"/>
            </w:pPr>
            <w:r>
              <w:rPr>
                <w:sz w:val="24"/>
              </w:rPr>
              <w:t xml:space="preserve">N пункта</w:t>
            </w:r>
          </w:p>
        </w:tc>
        <w:tc>
          <w:tcPr>
            <w:tcW w:w="3557" w:type="dxa"/>
          </w:tcPr>
          <w:p>
            <w:pPr>
              <w:pStyle w:val="0"/>
              <w:jc w:val="center"/>
            </w:pPr>
            <w:r>
              <w:rPr>
                <w:sz w:val="24"/>
              </w:rPr>
              <w:t xml:space="preserve">Мероприятия</w:t>
            </w:r>
          </w:p>
        </w:tc>
        <w:tc>
          <w:tcPr>
            <w:tcW w:w="1217" w:type="dxa"/>
          </w:tcPr>
          <w:p>
            <w:pPr>
              <w:pStyle w:val="0"/>
              <w:jc w:val="center"/>
            </w:pPr>
            <w:r>
              <w:rPr>
                <w:sz w:val="24"/>
              </w:rPr>
              <w:t xml:space="preserve">Единица измерения</w:t>
            </w:r>
          </w:p>
        </w:tc>
        <w:tc>
          <w:tcPr>
            <w:tcW w:w="1310" w:type="dxa"/>
          </w:tcPr>
          <w:p>
            <w:pPr>
              <w:pStyle w:val="0"/>
              <w:jc w:val="center"/>
            </w:pPr>
            <w:r>
              <w:rPr>
                <w:sz w:val="24"/>
              </w:rPr>
              <w:t xml:space="preserve">Норма времени, человеко-часов</w:t>
            </w:r>
          </w:p>
        </w:tc>
        <w:tc>
          <w:tcPr>
            <w:tcW w:w="2190" w:type="dxa"/>
          </w:tcPr>
          <w:p>
            <w:pPr>
              <w:pStyle w:val="0"/>
              <w:jc w:val="center"/>
            </w:pPr>
            <w:r>
              <w:rPr>
                <w:sz w:val="24"/>
              </w:rPr>
              <w:t xml:space="preserve">Состав работников (2 человека)</w:t>
            </w:r>
          </w:p>
        </w:tc>
      </w:tr>
      <w:tr>
        <w:tc>
          <w:tcPr>
            <w:tcW w:w="794" w:type="dxa"/>
          </w:tcPr>
          <w:p>
            <w:pPr>
              <w:pStyle w:val="0"/>
              <w:jc w:val="center"/>
            </w:pPr>
            <w:r>
              <w:rPr>
                <w:sz w:val="24"/>
              </w:rPr>
              <w:t xml:space="preserve">1</w:t>
            </w:r>
          </w:p>
        </w:tc>
        <w:tc>
          <w:tcPr>
            <w:tcW w:w="3557" w:type="dxa"/>
          </w:tcPr>
          <w:p>
            <w:pPr>
              <w:pStyle w:val="0"/>
              <w:jc w:val="center"/>
            </w:pPr>
            <w:r>
              <w:rPr>
                <w:sz w:val="24"/>
              </w:rPr>
              <w:t xml:space="preserve">2</w:t>
            </w:r>
          </w:p>
        </w:tc>
        <w:tc>
          <w:tcPr>
            <w:tcW w:w="1217" w:type="dxa"/>
          </w:tcPr>
          <w:p>
            <w:pPr>
              <w:pStyle w:val="0"/>
              <w:jc w:val="center"/>
            </w:pPr>
            <w:r>
              <w:rPr>
                <w:sz w:val="24"/>
              </w:rPr>
              <w:t xml:space="preserve">3</w:t>
            </w:r>
          </w:p>
        </w:tc>
        <w:tc>
          <w:tcPr>
            <w:tcW w:w="1310" w:type="dxa"/>
          </w:tcPr>
          <w:p>
            <w:pPr>
              <w:pStyle w:val="0"/>
              <w:jc w:val="center"/>
            </w:pPr>
            <w:r>
              <w:rPr>
                <w:sz w:val="24"/>
              </w:rPr>
              <w:t xml:space="preserve">4</w:t>
            </w:r>
          </w:p>
        </w:tc>
        <w:tc>
          <w:tcPr>
            <w:tcW w:w="2190" w:type="dxa"/>
          </w:tcPr>
          <w:p>
            <w:pPr>
              <w:pStyle w:val="0"/>
              <w:jc w:val="center"/>
            </w:pPr>
            <w:r>
              <w:rPr>
                <w:sz w:val="24"/>
              </w:rPr>
              <w:t xml:space="preserve">5</w:t>
            </w:r>
          </w:p>
        </w:tc>
      </w:tr>
      <w:tr>
        <w:tc>
          <w:tcPr>
            <w:tcW w:w="794" w:type="dxa"/>
            <w:vAlign w:val="center"/>
          </w:tcPr>
          <w:p>
            <w:pPr>
              <w:pStyle w:val="0"/>
              <w:jc w:val="center"/>
            </w:pPr>
            <w:r>
              <w:rPr>
                <w:sz w:val="24"/>
              </w:rPr>
              <w:t xml:space="preserve">1.</w:t>
            </w:r>
          </w:p>
        </w:tc>
        <w:tc>
          <w:tcPr>
            <w:tcW w:w="3557" w:type="dxa"/>
            <w:vAlign w:val="center"/>
          </w:tcPr>
          <w:p>
            <w:pPr>
              <w:pStyle w:val="0"/>
              <w:jc w:val="center"/>
            </w:pPr>
            <w:r>
              <w:rPr>
                <w:sz w:val="24"/>
              </w:rPr>
              <w:t xml:space="preserve">Выполнение работ по техническому обслуживанию бытового газоиспользующего оборудования, предназначенного для приготовления и подогрева пищи (плиты газовые, панели варочные (врезные газовые поверхности), комбинированные газоэлектрические плиты, шкафы духовые газовые)</w:t>
            </w:r>
          </w:p>
        </w:tc>
        <w:tc>
          <w:tcPr>
            <w:tcW w:w="1217" w:type="dxa"/>
            <w:vAlign w:val="center"/>
          </w:tcPr>
          <w:p>
            <w:pPr>
              <w:pStyle w:val="0"/>
              <w:jc w:val="center"/>
            </w:pPr>
            <w:r>
              <w:rPr>
                <w:sz w:val="24"/>
              </w:rPr>
              <w:t xml:space="preserve">шт.</w:t>
            </w:r>
          </w:p>
        </w:tc>
        <w:tc>
          <w:tcPr>
            <w:tcW w:w="1310" w:type="dxa"/>
            <w:vAlign w:val="center"/>
          </w:tcPr>
          <w:p>
            <w:pPr>
              <w:pStyle w:val="0"/>
              <w:jc w:val="center"/>
            </w:pPr>
            <w:r>
              <w:rPr>
                <w:sz w:val="24"/>
              </w:rPr>
              <w:t xml:space="preserve">0,81</w:t>
            </w:r>
          </w:p>
        </w:tc>
        <w:tc>
          <w:tcPr>
            <w:tcW w:w="2190"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2.</w:t>
            </w:r>
          </w:p>
        </w:tc>
        <w:tc>
          <w:tcPr>
            <w:tcW w:w="3557" w:type="dxa"/>
            <w:vAlign w:val="center"/>
          </w:tcPr>
          <w:p>
            <w:pPr>
              <w:pStyle w:val="0"/>
              <w:jc w:val="center"/>
            </w:pPr>
            <w:r>
              <w:rPr>
                <w:sz w:val="24"/>
              </w:rPr>
              <w:t xml:space="preserve">Выполнение работ по техническому обслуживанию газоиспользующего оборудования, предназначенного для приготовления горячей воды на цели хозяйственных и санитарно-гигиенических нужд (водонагреватели газовые мгновенного действия (водонагреватели проточные газовые), аппараты водонагревательные емкостные газовые (водонагреватели емкостные газовые)</w:t>
            </w:r>
          </w:p>
        </w:tc>
        <w:tc>
          <w:tcPr>
            <w:tcW w:w="1217" w:type="dxa"/>
            <w:vAlign w:val="center"/>
          </w:tcPr>
          <w:p>
            <w:pPr>
              <w:pStyle w:val="0"/>
              <w:jc w:val="center"/>
            </w:pPr>
            <w:r>
              <w:rPr>
                <w:sz w:val="24"/>
              </w:rPr>
              <w:t xml:space="preserve">шт.</w:t>
            </w:r>
          </w:p>
        </w:tc>
        <w:tc>
          <w:tcPr>
            <w:tcW w:w="1310" w:type="dxa"/>
            <w:vAlign w:val="center"/>
          </w:tcPr>
          <w:p>
            <w:pPr>
              <w:pStyle w:val="0"/>
              <w:jc w:val="center"/>
            </w:pPr>
            <w:r>
              <w:rPr>
                <w:sz w:val="24"/>
              </w:rPr>
              <w:t xml:space="preserve">1,01</w:t>
            </w:r>
          </w:p>
        </w:tc>
        <w:tc>
          <w:tcPr>
            <w:tcW w:w="2190"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3.</w:t>
            </w:r>
          </w:p>
        </w:tc>
        <w:tc>
          <w:tcPr>
            <w:tcW w:w="3557" w:type="dxa"/>
            <w:vAlign w:val="center"/>
          </w:tcPr>
          <w:p>
            <w:pPr>
              <w:pStyle w:val="0"/>
              <w:jc w:val="center"/>
            </w:pPr>
            <w:r>
              <w:rPr>
                <w:sz w:val="24"/>
              </w:rPr>
              <w:t xml:space="preserve">Выполнение работ по техническому обслуживанию газоиспользующего оборудования, предназначенного для отопления (котлы газовые отопительные (одноконтурные) и аппараты водонагревательные емкостные газовые (водонагреватели емкостные газовые) одноконтурные, конвекторы отопительные газовые (газовые конвекторы), устройства газогорелочные для отопительных печей (печные горелки)</w:t>
            </w:r>
          </w:p>
        </w:tc>
        <w:tc>
          <w:tcPr>
            <w:tcW w:w="1217" w:type="dxa"/>
            <w:vAlign w:val="center"/>
          </w:tcPr>
          <w:p>
            <w:pPr>
              <w:pStyle w:val="0"/>
              <w:jc w:val="center"/>
            </w:pPr>
            <w:r>
              <w:rPr>
                <w:sz w:val="24"/>
              </w:rPr>
              <w:t xml:space="preserve">шт.</w:t>
            </w:r>
          </w:p>
        </w:tc>
        <w:tc>
          <w:tcPr>
            <w:tcW w:w="1310" w:type="dxa"/>
            <w:vAlign w:val="center"/>
          </w:tcPr>
          <w:p>
            <w:pPr>
              <w:pStyle w:val="0"/>
              <w:jc w:val="center"/>
            </w:pPr>
            <w:r>
              <w:rPr>
                <w:sz w:val="24"/>
              </w:rPr>
              <w:t xml:space="preserve">1,11</w:t>
            </w:r>
          </w:p>
        </w:tc>
        <w:tc>
          <w:tcPr>
            <w:tcW w:w="2190"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4.</w:t>
            </w:r>
          </w:p>
        </w:tc>
        <w:tc>
          <w:tcPr>
            <w:tcW w:w="3557" w:type="dxa"/>
            <w:vAlign w:val="center"/>
          </w:tcPr>
          <w:p>
            <w:pPr>
              <w:pStyle w:val="0"/>
              <w:jc w:val="center"/>
            </w:pPr>
            <w:r>
              <w:rPr>
                <w:sz w:val="24"/>
              </w:rPr>
              <w:t xml:space="preserve">Выполнение работ по техническому обслуживанию газоиспользующего оборудования, предназначенного для отопления и приготовления горячей воды на цели хозяйственных и санитарно-гигиенических нужд (аппараты (котлы двухконтурные) газовые)</w:t>
            </w:r>
          </w:p>
        </w:tc>
        <w:tc>
          <w:tcPr>
            <w:tcW w:w="1217" w:type="dxa"/>
            <w:vAlign w:val="center"/>
          </w:tcPr>
          <w:p>
            <w:pPr>
              <w:pStyle w:val="0"/>
              <w:jc w:val="center"/>
            </w:pPr>
            <w:r>
              <w:rPr>
                <w:sz w:val="24"/>
              </w:rPr>
              <w:t xml:space="preserve">шт.</w:t>
            </w:r>
          </w:p>
        </w:tc>
        <w:tc>
          <w:tcPr>
            <w:tcW w:w="1310" w:type="dxa"/>
            <w:vAlign w:val="center"/>
          </w:tcPr>
          <w:p>
            <w:pPr>
              <w:pStyle w:val="0"/>
              <w:jc w:val="center"/>
            </w:pPr>
            <w:r>
              <w:rPr>
                <w:sz w:val="24"/>
              </w:rPr>
              <w:t xml:space="preserve">1,31</w:t>
            </w:r>
          </w:p>
        </w:tc>
        <w:tc>
          <w:tcPr>
            <w:tcW w:w="2190"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5.</w:t>
            </w:r>
          </w:p>
        </w:tc>
        <w:tc>
          <w:tcPr>
            <w:tcW w:w="3557" w:type="dxa"/>
            <w:vAlign w:val="center"/>
          </w:tcPr>
          <w:p>
            <w:pPr>
              <w:pStyle w:val="0"/>
              <w:jc w:val="center"/>
            </w:pPr>
            <w:r>
              <w:rPr>
                <w:sz w:val="24"/>
              </w:rPr>
              <w:t xml:space="preserve">Выполнение работ по техническому обслуживанию внутренних газопроводов с установленными на них техническими устройствами (трубопроводная арматура, электроизолирующие соединения, приборы учета газа)</w:t>
            </w:r>
          </w:p>
        </w:tc>
        <w:tc>
          <w:tcPr>
            <w:tcW w:w="1217" w:type="dxa"/>
            <w:vAlign w:val="center"/>
          </w:tcPr>
          <w:p>
            <w:pPr>
              <w:pStyle w:val="0"/>
              <w:jc w:val="center"/>
            </w:pPr>
            <w:r>
              <w:rPr>
                <w:sz w:val="24"/>
              </w:rPr>
              <w:t xml:space="preserve">шт.</w:t>
            </w:r>
          </w:p>
          <w:p>
            <w:pPr>
              <w:pStyle w:val="0"/>
              <w:jc w:val="center"/>
            </w:pPr>
            <w:r>
              <w:rPr>
                <w:sz w:val="24"/>
              </w:rPr>
              <w:t xml:space="preserve">(стояков)</w:t>
            </w:r>
          </w:p>
        </w:tc>
        <w:tc>
          <w:tcPr>
            <w:tcW w:w="1310" w:type="dxa"/>
            <w:vAlign w:val="center"/>
          </w:tcPr>
          <w:p>
            <w:pPr>
              <w:pStyle w:val="0"/>
              <w:jc w:val="center"/>
            </w:pPr>
            <w:r>
              <w:rPr>
                <w:sz w:val="24"/>
              </w:rPr>
              <w:t xml:space="preserve">0,6</w:t>
            </w:r>
          </w:p>
        </w:tc>
        <w:tc>
          <w:tcPr>
            <w:tcW w:w="2190"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6.</w:t>
            </w:r>
          </w:p>
        </w:tc>
        <w:tc>
          <w:tcPr>
            <w:tcW w:w="3557" w:type="dxa"/>
            <w:vAlign w:val="center"/>
          </w:tcPr>
          <w:p>
            <w:pPr>
              <w:pStyle w:val="0"/>
              <w:jc w:val="center"/>
            </w:pPr>
            <w:r>
              <w:rPr>
                <w:sz w:val="24"/>
              </w:rPr>
              <w:t xml:space="preserve">Выполнение работ по техническому обслуживанию наружных (надземных, фасадных) газопроводов с установленными на них техническими устройствами (трубопроводная арматура, приборы учета газа)</w:t>
            </w:r>
          </w:p>
        </w:tc>
        <w:tc>
          <w:tcPr>
            <w:tcW w:w="1217" w:type="dxa"/>
            <w:vAlign w:val="center"/>
          </w:tcPr>
          <w:p>
            <w:pPr>
              <w:pStyle w:val="0"/>
              <w:jc w:val="center"/>
            </w:pPr>
            <w:r>
              <w:rPr>
                <w:sz w:val="24"/>
              </w:rPr>
              <w:t xml:space="preserve">м</w:t>
            </w:r>
          </w:p>
        </w:tc>
        <w:tc>
          <w:tcPr>
            <w:tcW w:w="1310" w:type="dxa"/>
            <w:vAlign w:val="center"/>
          </w:tcPr>
          <w:p>
            <w:pPr>
              <w:pStyle w:val="0"/>
              <w:jc w:val="center"/>
            </w:pPr>
            <w:r>
              <w:rPr>
                <w:sz w:val="24"/>
              </w:rPr>
              <w:t xml:space="preserve">0,02</w:t>
            </w:r>
          </w:p>
        </w:tc>
        <w:tc>
          <w:tcPr>
            <w:tcW w:w="2190"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7.</w:t>
            </w:r>
          </w:p>
        </w:tc>
        <w:tc>
          <w:tcPr>
            <w:tcW w:w="3557" w:type="dxa"/>
            <w:vAlign w:val="center"/>
          </w:tcPr>
          <w:p>
            <w:pPr>
              <w:pStyle w:val="0"/>
              <w:jc w:val="center"/>
            </w:pPr>
            <w:r>
              <w:rPr>
                <w:sz w:val="24"/>
              </w:rPr>
              <w:t xml:space="preserve">Выполнение работ по техническому обслуживанию наружных (подземных) газопроводов</w:t>
            </w:r>
          </w:p>
        </w:tc>
        <w:tc>
          <w:tcPr>
            <w:tcW w:w="1217" w:type="dxa"/>
            <w:vAlign w:val="center"/>
          </w:tcPr>
          <w:p>
            <w:pPr>
              <w:pStyle w:val="0"/>
              <w:jc w:val="center"/>
            </w:pPr>
            <w:r>
              <w:rPr>
                <w:sz w:val="24"/>
              </w:rPr>
              <w:t xml:space="preserve">м</w:t>
            </w:r>
          </w:p>
        </w:tc>
        <w:tc>
          <w:tcPr>
            <w:tcW w:w="1310" w:type="dxa"/>
            <w:vAlign w:val="center"/>
          </w:tcPr>
          <w:p>
            <w:pPr>
              <w:pStyle w:val="0"/>
              <w:jc w:val="center"/>
            </w:pPr>
            <w:r>
              <w:rPr>
                <w:sz w:val="24"/>
              </w:rPr>
              <w:t xml:space="preserve">0,02</w:t>
            </w:r>
          </w:p>
        </w:tc>
        <w:tc>
          <w:tcPr>
            <w:tcW w:w="2190"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8.</w:t>
            </w:r>
          </w:p>
        </w:tc>
        <w:tc>
          <w:tcPr>
            <w:tcW w:w="3557" w:type="dxa"/>
            <w:vAlign w:val="center"/>
          </w:tcPr>
          <w:p>
            <w:pPr>
              <w:pStyle w:val="0"/>
              <w:jc w:val="center"/>
            </w:pPr>
            <w:r>
              <w:rPr>
                <w:sz w:val="24"/>
              </w:rPr>
              <w:t xml:space="preserve">Выполнение работ по техническому обслуживанию отключающих устройств, установленных на газопроводах</w:t>
            </w:r>
          </w:p>
        </w:tc>
        <w:tc>
          <w:tcPr>
            <w:tcW w:w="1217" w:type="dxa"/>
            <w:vAlign w:val="center"/>
          </w:tcPr>
          <w:p>
            <w:pPr>
              <w:pStyle w:val="0"/>
              <w:jc w:val="center"/>
            </w:pPr>
            <w:r>
              <w:rPr>
                <w:sz w:val="24"/>
              </w:rPr>
              <w:t xml:space="preserve">шт.</w:t>
            </w:r>
          </w:p>
        </w:tc>
        <w:tc>
          <w:tcPr>
            <w:tcW w:w="1310" w:type="dxa"/>
            <w:vAlign w:val="center"/>
          </w:tcPr>
          <w:p>
            <w:pPr>
              <w:pStyle w:val="0"/>
              <w:jc w:val="center"/>
            </w:pPr>
            <w:r>
              <w:rPr>
                <w:sz w:val="24"/>
              </w:rPr>
              <w:t xml:space="preserve">0,19</w:t>
            </w:r>
          </w:p>
        </w:tc>
        <w:tc>
          <w:tcPr>
            <w:tcW w:w="2190"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9.</w:t>
            </w:r>
          </w:p>
        </w:tc>
        <w:tc>
          <w:tcPr>
            <w:tcW w:w="3557" w:type="dxa"/>
            <w:vAlign w:val="center"/>
          </w:tcPr>
          <w:p>
            <w:pPr>
              <w:pStyle w:val="0"/>
              <w:jc w:val="center"/>
            </w:pPr>
            <w:r>
              <w:rPr>
                <w:sz w:val="24"/>
              </w:rPr>
              <w:t xml:space="preserve">Выполнение работ по техническому обслуживанию системы контроля загазованности</w:t>
            </w:r>
          </w:p>
        </w:tc>
        <w:tc>
          <w:tcPr>
            <w:tcW w:w="1217" w:type="dxa"/>
            <w:vAlign w:val="center"/>
          </w:tcPr>
          <w:p>
            <w:pPr>
              <w:pStyle w:val="0"/>
              <w:jc w:val="center"/>
            </w:pPr>
            <w:r>
              <w:rPr>
                <w:sz w:val="24"/>
              </w:rPr>
              <w:t xml:space="preserve">шт.</w:t>
            </w:r>
          </w:p>
        </w:tc>
        <w:tc>
          <w:tcPr>
            <w:tcW w:w="1310" w:type="dxa"/>
            <w:vAlign w:val="center"/>
          </w:tcPr>
          <w:p>
            <w:pPr>
              <w:pStyle w:val="0"/>
              <w:jc w:val="center"/>
            </w:pPr>
            <w:r>
              <w:rPr>
                <w:sz w:val="24"/>
              </w:rPr>
              <w:t xml:space="preserve">0,11</w:t>
            </w:r>
          </w:p>
        </w:tc>
        <w:tc>
          <w:tcPr>
            <w:tcW w:w="2190"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10.</w:t>
            </w:r>
          </w:p>
        </w:tc>
        <w:tc>
          <w:tcPr>
            <w:tcW w:w="3557" w:type="dxa"/>
            <w:vAlign w:val="center"/>
          </w:tcPr>
          <w:p>
            <w:pPr>
              <w:pStyle w:val="0"/>
              <w:jc w:val="center"/>
            </w:pPr>
            <w:r>
              <w:rPr>
                <w:sz w:val="24"/>
              </w:rPr>
              <w:t xml:space="preserve">Выполнение работ по техническому обслуживанию электроизолирующих соединений, установленных на внутренних газопроводах</w:t>
            </w:r>
          </w:p>
        </w:tc>
        <w:tc>
          <w:tcPr>
            <w:tcW w:w="1217" w:type="dxa"/>
            <w:vAlign w:val="center"/>
          </w:tcPr>
          <w:p>
            <w:pPr>
              <w:pStyle w:val="0"/>
              <w:jc w:val="center"/>
            </w:pPr>
            <w:r>
              <w:rPr>
                <w:sz w:val="24"/>
              </w:rPr>
              <w:t xml:space="preserve">шт.</w:t>
            </w:r>
          </w:p>
        </w:tc>
        <w:tc>
          <w:tcPr>
            <w:tcW w:w="1310" w:type="dxa"/>
            <w:vAlign w:val="center"/>
          </w:tcPr>
          <w:p>
            <w:pPr>
              <w:pStyle w:val="0"/>
              <w:jc w:val="center"/>
            </w:pPr>
            <w:r>
              <w:rPr>
                <w:sz w:val="24"/>
              </w:rPr>
              <w:t xml:space="preserve">0,08</w:t>
            </w:r>
          </w:p>
        </w:tc>
        <w:tc>
          <w:tcPr>
            <w:tcW w:w="2190"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11.</w:t>
            </w:r>
          </w:p>
        </w:tc>
        <w:tc>
          <w:tcPr>
            <w:tcW w:w="3557" w:type="dxa"/>
            <w:vAlign w:val="center"/>
          </w:tcPr>
          <w:p>
            <w:pPr>
              <w:pStyle w:val="0"/>
              <w:jc w:val="center"/>
            </w:pPr>
            <w:r>
              <w:rPr>
                <w:sz w:val="24"/>
              </w:rPr>
              <w:t xml:space="preserve">Выполнение работ по техническому обслуживанию электроизолирующих соединений, установленных на наружных газопроводах (надземных, фасадных)</w:t>
            </w:r>
          </w:p>
        </w:tc>
        <w:tc>
          <w:tcPr>
            <w:tcW w:w="1217" w:type="dxa"/>
            <w:vAlign w:val="center"/>
          </w:tcPr>
          <w:p>
            <w:pPr>
              <w:pStyle w:val="0"/>
              <w:jc w:val="center"/>
            </w:pPr>
            <w:r>
              <w:rPr>
                <w:sz w:val="24"/>
              </w:rPr>
              <w:t xml:space="preserve">шт.</w:t>
            </w:r>
          </w:p>
        </w:tc>
        <w:tc>
          <w:tcPr>
            <w:tcW w:w="1310" w:type="dxa"/>
            <w:vAlign w:val="center"/>
          </w:tcPr>
          <w:p>
            <w:pPr>
              <w:pStyle w:val="0"/>
              <w:jc w:val="center"/>
            </w:pPr>
            <w:r>
              <w:rPr>
                <w:sz w:val="24"/>
              </w:rPr>
              <w:t xml:space="preserve">0,08</w:t>
            </w:r>
          </w:p>
        </w:tc>
        <w:tc>
          <w:tcPr>
            <w:tcW w:w="2190"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bl>
    <w:p>
      <w:pPr>
        <w:pStyle w:val="0"/>
        <w:ind w:firstLine="540"/>
        <w:jc w:val="both"/>
      </w:pPr>
      <w:r>
        <w:rPr>
          <w:sz w:val="24"/>
        </w:rPr>
      </w:r>
    </w:p>
    <w:p>
      <w:pPr>
        <w:pStyle w:val="2"/>
        <w:outlineLvl w:val="2"/>
        <w:jc w:val="center"/>
      </w:pPr>
      <w:r>
        <w:rPr>
          <w:sz w:val="24"/>
        </w:rPr>
        <w:t xml:space="preserve">IV. Состав мероприятий по установке внутридомового</w:t>
      </w:r>
    </w:p>
    <w:p>
      <w:pPr>
        <w:pStyle w:val="2"/>
        <w:jc w:val="center"/>
      </w:pPr>
      <w:r>
        <w:rPr>
          <w:sz w:val="24"/>
        </w:rPr>
        <w:t xml:space="preserve">и внутриквартирного газового оборудования</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4"/>
        <w:gridCol w:w="3515"/>
        <w:gridCol w:w="1245"/>
        <w:gridCol w:w="1311"/>
        <w:gridCol w:w="2206"/>
      </w:tblGrid>
      <w:tr>
        <w:tc>
          <w:tcPr>
            <w:tcW w:w="794" w:type="dxa"/>
          </w:tcPr>
          <w:p>
            <w:pPr>
              <w:pStyle w:val="0"/>
              <w:jc w:val="center"/>
            </w:pPr>
            <w:r>
              <w:rPr>
                <w:sz w:val="24"/>
              </w:rPr>
              <w:t xml:space="preserve">N пункта</w:t>
            </w:r>
          </w:p>
        </w:tc>
        <w:tc>
          <w:tcPr>
            <w:tcW w:w="3515" w:type="dxa"/>
          </w:tcPr>
          <w:p>
            <w:pPr>
              <w:pStyle w:val="0"/>
              <w:jc w:val="center"/>
            </w:pPr>
            <w:r>
              <w:rPr>
                <w:sz w:val="24"/>
              </w:rPr>
              <w:t xml:space="preserve">Мероприятия</w:t>
            </w:r>
          </w:p>
        </w:tc>
        <w:tc>
          <w:tcPr>
            <w:tcW w:w="1245" w:type="dxa"/>
          </w:tcPr>
          <w:p>
            <w:pPr>
              <w:pStyle w:val="0"/>
              <w:jc w:val="center"/>
            </w:pPr>
            <w:r>
              <w:rPr>
                <w:sz w:val="24"/>
              </w:rPr>
              <w:t xml:space="preserve">Единица измерения</w:t>
            </w:r>
          </w:p>
        </w:tc>
        <w:tc>
          <w:tcPr>
            <w:tcW w:w="1311" w:type="dxa"/>
          </w:tcPr>
          <w:p>
            <w:pPr>
              <w:pStyle w:val="0"/>
              <w:jc w:val="center"/>
            </w:pPr>
            <w:r>
              <w:rPr>
                <w:sz w:val="24"/>
              </w:rPr>
              <w:t xml:space="preserve">Норма времени, человеко-часов</w:t>
            </w:r>
          </w:p>
        </w:tc>
        <w:tc>
          <w:tcPr>
            <w:tcW w:w="2206" w:type="dxa"/>
          </w:tcPr>
          <w:p>
            <w:pPr>
              <w:pStyle w:val="0"/>
              <w:jc w:val="center"/>
            </w:pPr>
            <w:r>
              <w:rPr>
                <w:sz w:val="24"/>
              </w:rPr>
              <w:t xml:space="preserve">Состав работников (2 человека)</w:t>
            </w:r>
          </w:p>
        </w:tc>
      </w:tr>
      <w:tr>
        <w:tc>
          <w:tcPr>
            <w:tcW w:w="794" w:type="dxa"/>
          </w:tcPr>
          <w:p>
            <w:pPr>
              <w:pStyle w:val="0"/>
              <w:jc w:val="center"/>
            </w:pPr>
            <w:r>
              <w:rPr>
                <w:sz w:val="24"/>
              </w:rPr>
              <w:t xml:space="preserve">1</w:t>
            </w:r>
          </w:p>
        </w:tc>
        <w:tc>
          <w:tcPr>
            <w:tcW w:w="3515" w:type="dxa"/>
          </w:tcPr>
          <w:p>
            <w:pPr>
              <w:pStyle w:val="0"/>
              <w:jc w:val="center"/>
            </w:pPr>
            <w:r>
              <w:rPr>
                <w:sz w:val="24"/>
              </w:rPr>
              <w:t xml:space="preserve">2</w:t>
            </w:r>
          </w:p>
        </w:tc>
        <w:tc>
          <w:tcPr>
            <w:tcW w:w="1245" w:type="dxa"/>
          </w:tcPr>
          <w:p>
            <w:pPr>
              <w:pStyle w:val="0"/>
              <w:jc w:val="center"/>
            </w:pPr>
            <w:r>
              <w:rPr>
                <w:sz w:val="24"/>
              </w:rPr>
              <w:t xml:space="preserve">3</w:t>
            </w:r>
          </w:p>
        </w:tc>
        <w:tc>
          <w:tcPr>
            <w:tcW w:w="1311" w:type="dxa"/>
          </w:tcPr>
          <w:p>
            <w:pPr>
              <w:pStyle w:val="0"/>
              <w:jc w:val="center"/>
            </w:pPr>
            <w:r>
              <w:rPr>
                <w:sz w:val="24"/>
              </w:rPr>
              <w:t xml:space="preserve">4</w:t>
            </w:r>
          </w:p>
        </w:tc>
        <w:tc>
          <w:tcPr>
            <w:tcW w:w="2206" w:type="dxa"/>
          </w:tcPr>
          <w:p>
            <w:pPr>
              <w:pStyle w:val="0"/>
              <w:jc w:val="center"/>
            </w:pPr>
            <w:r>
              <w:rPr>
                <w:sz w:val="24"/>
              </w:rPr>
              <w:t xml:space="preserve">5</w:t>
            </w:r>
          </w:p>
        </w:tc>
      </w:tr>
      <w:tr>
        <w:tc>
          <w:tcPr>
            <w:tcW w:w="794" w:type="dxa"/>
            <w:vAlign w:val="center"/>
          </w:tcPr>
          <w:p>
            <w:pPr>
              <w:pStyle w:val="0"/>
              <w:jc w:val="center"/>
            </w:pPr>
            <w:r>
              <w:rPr>
                <w:sz w:val="24"/>
              </w:rPr>
              <w:t xml:space="preserve">1.</w:t>
            </w:r>
          </w:p>
        </w:tc>
        <w:tc>
          <w:tcPr>
            <w:tcW w:w="3515" w:type="dxa"/>
            <w:vAlign w:val="center"/>
          </w:tcPr>
          <w:p>
            <w:pPr>
              <w:pStyle w:val="0"/>
              <w:jc w:val="center"/>
            </w:pPr>
            <w:r>
              <w:rPr>
                <w:sz w:val="24"/>
              </w:rPr>
              <w:t xml:space="preserve">Выполнение работ по установке газоиспользующего оборудования, предназначенного для приготовления и подогрева пищи (плиты газовые, панели варочные (врезные газовые поверхности), комбинированные газоэлектрические плиты, шкафы Духовые газовые)</w:t>
            </w:r>
          </w:p>
        </w:tc>
        <w:tc>
          <w:tcPr>
            <w:tcW w:w="1245" w:type="dxa"/>
            <w:vAlign w:val="center"/>
          </w:tcPr>
          <w:p>
            <w:pPr>
              <w:pStyle w:val="0"/>
              <w:jc w:val="center"/>
            </w:pPr>
            <w:r>
              <w:rPr>
                <w:sz w:val="24"/>
              </w:rPr>
              <w:t xml:space="preserve">шт.</w:t>
            </w:r>
          </w:p>
        </w:tc>
        <w:tc>
          <w:tcPr>
            <w:tcW w:w="1311" w:type="dxa"/>
            <w:vAlign w:val="center"/>
          </w:tcPr>
          <w:p>
            <w:pPr>
              <w:pStyle w:val="0"/>
              <w:jc w:val="center"/>
            </w:pPr>
            <w:r>
              <w:rPr>
                <w:sz w:val="24"/>
              </w:rPr>
              <w:t xml:space="preserve">1,1</w:t>
            </w:r>
          </w:p>
        </w:tc>
        <w:tc>
          <w:tcPr>
            <w:tcW w:w="2206"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2.</w:t>
            </w:r>
          </w:p>
        </w:tc>
        <w:tc>
          <w:tcPr>
            <w:tcW w:w="3515" w:type="dxa"/>
            <w:vAlign w:val="center"/>
          </w:tcPr>
          <w:p>
            <w:pPr>
              <w:pStyle w:val="0"/>
              <w:jc w:val="center"/>
            </w:pPr>
            <w:r>
              <w:rPr>
                <w:sz w:val="24"/>
              </w:rPr>
              <w:t xml:space="preserve">Выполнение работ по установке газоиспользующего оборудования, предназначенного для отопления и приготовления горячей воды на цели хозяйственных и санитарно-гигиенических нужд (аппараты (котлы двухконтуряые) газовые)</w:t>
            </w:r>
          </w:p>
        </w:tc>
        <w:tc>
          <w:tcPr>
            <w:tcW w:w="1245" w:type="dxa"/>
            <w:vAlign w:val="center"/>
          </w:tcPr>
          <w:p>
            <w:pPr>
              <w:pStyle w:val="0"/>
              <w:jc w:val="center"/>
            </w:pPr>
            <w:r>
              <w:rPr>
                <w:sz w:val="24"/>
              </w:rPr>
              <w:t xml:space="preserve">шт.</w:t>
            </w:r>
          </w:p>
        </w:tc>
        <w:tc>
          <w:tcPr>
            <w:tcW w:w="1311" w:type="dxa"/>
            <w:vAlign w:val="center"/>
          </w:tcPr>
          <w:p>
            <w:pPr>
              <w:pStyle w:val="0"/>
              <w:jc w:val="center"/>
            </w:pPr>
            <w:r>
              <w:rPr>
                <w:sz w:val="24"/>
              </w:rPr>
              <w:t xml:space="preserve">2,2</w:t>
            </w:r>
          </w:p>
        </w:tc>
        <w:tc>
          <w:tcPr>
            <w:tcW w:w="2206"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3.</w:t>
            </w:r>
          </w:p>
        </w:tc>
        <w:tc>
          <w:tcPr>
            <w:tcW w:w="3515" w:type="dxa"/>
            <w:vAlign w:val="center"/>
          </w:tcPr>
          <w:p>
            <w:pPr>
              <w:pStyle w:val="0"/>
              <w:jc w:val="center"/>
            </w:pPr>
            <w:r>
              <w:rPr>
                <w:sz w:val="24"/>
              </w:rPr>
              <w:t xml:space="preserve">Выполнение работ по установке газоиспользующего оборудования, предназначенного для отопления (котлы газовые отопительные (одноконтурные) и аппараты водонагревательные емкостные газовые (водонагреватели емкостные газовые) одноконтурные, конвекторы отопительные газовые (газовые конвекторы), устройства газогорелочные для отопительных печей (печные горелки)"</w:t>
            </w:r>
          </w:p>
        </w:tc>
        <w:tc>
          <w:tcPr>
            <w:tcW w:w="1245" w:type="dxa"/>
            <w:vAlign w:val="center"/>
          </w:tcPr>
          <w:p>
            <w:pPr>
              <w:pStyle w:val="0"/>
              <w:jc w:val="center"/>
            </w:pPr>
            <w:r>
              <w:rPr>
                <w:sz w:val="24"/>
              </w:rPr>
              <w:t xml:space="preserve">шт.</w:t>
            </w:r>
          </w:p>
        </w:tc>
        <w:tc>
          <w:tcPr>
            <w:tcW w:w="1311" w:type="dxa"/>
            <w:vAlign w:val="center"/>
          </w:tcPr>
          <w:p>
            <w:pPr>
              <w:pStyle w:val="0"/>
              <w:jc w:val="center"/>
            </w:pPr>
            <w:r>
              <w:rPr>
                <w:sz w:val="24"/>
              </w:rPr>
              <w:t xml:space="preserve">2,42</w:t>
            </w:r>
          </w:p>
        </w:tc>
        <w:tc>
          <w:tcPr>
            <w:tcW w:w="2206"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4.</w:t>
            </w:r>
          </w:p>
        </w:tc>
        <w:tc>
          <w:tcPr>
            <w:tcW w:w="3515" w:type="dxa"/>
            <w:vAlign w:val="center"/>
          </w:tcPr>
          <w:p>
            <w:pPr>
              <w:pStyle w:val="0"/>
              <w:jc w:val="center"/>
            </w:pPr>
            <w:r>
              <w:rPr>
                <w:sz w:val="24"/>
              </w:rPr>
              <w:t xml:space="preserve">Выполнение работ по установке газоиспользующего оборудования, предназначенного для приготовления горячей воды на цели хозяйственных и санитарно-гигиенических нужд (водонагреватели газовые мгновенного действия (водонагреватели проточные газовые), аппараты водонагревательные емкостные газовые (водонагреватели емкостные газовые)</w:t>
            </w:r>
          </w:p>
        </w:tc>
        <w:tc>
          <w:tcPr>
            <w:tcW w:w="1245" w:type="dxa"/>
            <w:vAlign w:val="center"/>
          </w:tcPr>
          <w:p>
            <w:pPr>
              <w:pStyle w:val="0"/>
              <w:jc w:val="center"/>
            </w:pPr>
            <w:r>
              <w:rPr>
                <w:sz w:val="24"/>
              </w:rPr>
              <w:t xml:space="preserve">шт.</w:t>
            </w:r>
          </w:p>
        </w:tc>
        <w:tc>
          <w:tcPr>
            <w:tcW w:w="1311" w:type="dxa"/>
            <w:vAlign w:val="center"/>
          </w:tcPr>
          <w:p>
            <w:pPr>
              <w:pStyle w:val="0"/>
              <w:jc w:val="center"/>
            </w:pPr>
            <w:r>
              <w:rPr>
                <w:sz w:val="24"/>
              </w:rPr>
              <w:t xml:space="preserve">1,7</w:t>
            </w:r>
          </w:p>
        </w:tc>
        <w:tc>
          <w:tcPr>
            <w:tcW w:w="2206"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94" w:type="dxa"/>
            <w:vAlign w:val="center"/>
          </w:tcPr>
          <w:p>
            <w:pPr>
              <w:pStyle w:val="0"/>
              <w:jc w:val="center"/>
            </w:pPr>
            <w:r>
              <w:rPr>
                <w:sz w:val="24"/>
              </w:rPr>
              <w:t xml:space="preserve">5.</w:t>
            </w:r>
          </w:p>
        </w:tc>
        <w:tc>
          <w:tcPr>
            <w:tcW w:w="3515" w:type="dxa"/>
            <w:vAlign w:val="center"/>
          </w:tcPr>
          <w:p>
            <w:pPr>
              <w:pStyle w:val="0"/>
              <w:jc w:val="center"/>
            </w:pPr>
            <w:r>
              <w:rPr>
                <w:sz w:val="24"/>
              </w:rPr>
              <w:t xml:space="preserve">Выполнение работ по установке приборов учета газа</w:t>
            </w:r>
          </w:p>
        </w:tc>
        <w:tc>
          <w:tcPr>
            <w:tcW w:w="1245" w:type="dxa"/>
            <w:vAlign w:val="center"/>
          </w:tcPr>
          <w:p>
            <w:pPr>
              <w:pStyle w:val="0"/>
              <w:jc w:val="center"/>
            </w:pPr>
            <w:r>
              <w:rPr>
                <w:sz w:val="24"/>
              </w:rPr>
              <w:t xml:space="preserve">шт.</w:t>
            </w:r>
          </w:p>
        </w:tc>
        <w:tc>
          <w:tcPr>
            <w:tcW w:w="1311" w:type="dxa"/>
            <w:vAlign w:val="center"/>
          </w:tcPr>
          <w:p>
            <w:pPr>
              <w:pStyle w:val="0"/>
              <w:jc w:val="center"/>
            </w:pPr>
            <w:r>
              <w:rPr>
                <w:sz w:val="24"/>
              </w:rPr>
              <w:t xml:space="preserve">0,7</w:t>
            </w:r>
          </w:p>
        </w:tc>
        <w:tc>
          <w:tcPr>
            <w:tcW w:w="2206"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bl>
    <w:p>
      <w:pPr>
        <w:pStyle w:val="0"/>
        <w:ind w:firstLine="540"/>
        <w:jc w:val="both"/>
      </w:pPr>
      <w:r>
        <w:rPr>
          <w:sz w:val="24"/>
        </w:rPr>
      </w:r>
    </w:p>
    <w:p>
      <w:pPr>
        <w:pStyle w:val="2"/>
        <w:outlineLvl w:val="2"/>
        <w:jc w:val="center"/>
      </w:pPr>
      <w:r>
        <w:rPr>
          <w:sz w:val="24"/>
        </w:rPr>
        <w:t xml:space="preserve">V. Состав мероприятий по замене внутридомового</w:t>
      </w:r>
    </w:p>
    <w:p>
      <w:pPr>
        <w:pStyle w:val="2"/>
        <w:jc w:val="center"/>
      </w:pPr>
      <w:r>
        <w:rPr>
          <w:sz w:val="24"/>
        </w:rPr>
        <w:t xml:space="preserve">и внутриквартирного газового оборудования</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84"/>
        <w:gridCol w:w="3525"/>
        <w:gridCol w:w="1232"/>
        <w:gridCol w:w="1324"/>
        <w:gridCol w:w="2206"/>
      </w:tblGrid>
      <w:tr>
        <w:tc>
          <w:tcPr>
            <w:tcW w:w="784" w:type="dxa"/>
          </w:tcPr>
          <w:p>
            <w:pPr>
              <w:pStyle w:val="0"/>
              <w:jc w:val="center"/>
            </w:pPr>
            <w:r>
              <w:rPr>
                <w:sz w:val="24"/>
              </w:rPr>
              <w:t xml:space="preserve">N пункта</w:t>
            </w:r>
          </w:p>
        </w:tc>
        <w:tc>
          <w:tcPr>
            <w:tcW w:w="3525" w:type="dxa"/>
          </w:tcPr>
          <w:p>
            <w:pPr>
              <w:pStyle w:val="0"/>
              <w:jc w:val="center"/>
            </w:pPr>
            <w:r>
              <w:rPr>
                <w:sz w:val="24"/>
              </w:rPr>
              <w:t xml:space="preserve">Мероприятия</w:t>
            </w:r>
          </w:p>
        </w:tc>
        <w:tc>
          <w:tcPr>
            <w:tcW w:w="1232" w:type="dxa"/>
          </w:tcPr>
          <w:p>
            <w:pPr>
              <w:pStyle w:val="0"/>
              <w:jc w:val="center"/>
            </w:pPr>
            <w:r>
              <w:rPr>
                <w:sz w:val="24"/>
              </w:rPr>
              <w:t xml:space="preserve">Единица измерения</w:t>
            </w:r>
          </w:p>
        </w:tc>
        <w:tc>
          <w:tcPr>
            <w:tcW w:w="1324" w:type="dxa"/>
          </w:tcPr>
          <w:p>
            <w:pPr>
              <w:pStyle w:val="0"/>
              <w:jc w:val="center"/>
            </w:pPr>
            <w:r>
              <w:rPr>
                <w:sz w:val="24"/>
              </w:rPr>
              <w:t xml:space="preserve">Норма времени, человеко-часов</w:t>
            </w:r>
          </w:p>
        </w:tc>
        <w:tc>
          <w:tcPr>
            <w:tcW w:w="2206" w:type="dxa"/>
          </w:tcPr>
          <w:p>
            <w:pPr>
              <w:pStyle w:val="0"/>
              <w:jc w:val="center"/>
            </w:pPr>
            <w:r>
              <w:rPr>
                <w:sz w:val="24"/>
              </w:rPr>
              <w:t xml:space="preserve">Состав работников (2 человека)</w:t>
            </w:r>
          </w:p>
        </w:tc>
      </w:tr>
      <w:tr>
        <w:tc>
          <w:tcPr>
            <w:tcW w:w="784" w:type="dxa"/>
          </w:tcPr>
          <w:p>
            <w:pPr>
              <w:pStyle w:val="0"/>
              <w:jc w:val="center"/>
            </w:pPr>
            <w:r>
              <w:rPr>
                <w:sz w:val="24"/>
              </w:rPr>
              <w:t xml:space="preserve">1</w:t>
            </w:r>
          </w:p>
        </w:tc>
        <w:tc>
          <w:tcPr>
            <w:tcW w:w="3525" w:type="dxa"/>
          </w:tcPr>
          <w:p>
            <w:pPr>
              <w:pStyle w:val="0"/>
              <w:jc w:val="center"/>
            </w:pPr>
            <w:r>
              <w:rPr>
                <w:sz w:val="24"/>
              </w:rPr>
              <w:t xml:space="preserve">2</w:t>
            </w:r>
          </w:p>
        </w:tc>
        <w:tc>
          <w:tcPr>
            <w:tcW w:w="1232" w:type="dxa"/>
          </w:tcPr>
          <w:p>
            <w:pPr>
              <w:pStyle w:val="0"/>
              <w:jc w:val="center"/>
            </w:pPr>
            <w:r>
              <w:rPr>
                <w:sz w:val="24"/>
              </w:rPr>
              <w:t xml:space="preserve">3</w:t>
            </w:r>
          </w:p>
        </w:tc>
        <w:tc>
          <w:tcPr>
            <w:tcW w:w="1324" w:type="dxa"/>
          </w:tcPr>
          <w:p>
            <w:pPr>
              <w:pStyle w:val="0"/>
              <w:jc w:val="center"/>
            </w:pPr>
            <w:r>
              <w:rPr>
                <w:sz w:val="24"/>
              </w:rPr>
              <w:t xml:space="preserve">4</w:t>
            </w:r>
          </w:p>
        </w:tc>
        <w:tc>
          <w:tcPr>
            <w:tcW w:w="2206" w:type="dxa"/>
          </w:tcPr>
          <w:p>
            <w:pPr>
              <w:pStyle w:val="0"/>
              <w:jc w:val="center"/>
            </w:pPr>
            <w:r>
              <w:rPr>
                <w:sz w:val="24"/>
              </w:rPr>
              <w:t xml:space="preserve">5</w:t>
            </w:r>
          </w:p>
        </w:tc>
      </w:tr>
      <w:tr>
        <w:tc>
          <w:tcPr>
            <w:tcW w:w="784" w:type="dxa"/>
            <w:vAlign w:val="center"/>
          </w:tcPr>
          <w:p>
            <w:pPr>
              <w:pStyle w:val="0"/>
              <w:jc w:val="center"/>
            </w:pPr>
            <w:r>
              <w:rPr>
                <w:sz w:val="24"/>
              </w:rPr>
              <w:t xml:space="preserve">1.</w:t>
            </w:r>
          </w:p>
        </w:tc>
        <w:tc>
          <w:tcPr>
            <w:tcW w:w="3525" w:type="dxa"/>
            <w:vAlign w:val="center"/>
          </w:tcPr>
          <w:p>
            <w:pPr>
              <w:pStyle w:val="0"/>
              <w:jc w:val="center"/>
            </w:pPr>
            <w:r>
              <w:rPr>
                <w:sz w:val="24"/>
              </w:rPr>
              <w:t xml:space="preserve">Выполнение работ по замене газоиспользующего оборудования, предназначенного для приготовления и подогрева пищи (плиты газовые, панели варочные (врезные газовые поверхности), комбинированные газоэлектрические плиты, шкафы духовые газовые)</w:t>
            </w:r>
          </w:p>
        </w:tc>
        <w:tc>
          <w:tcPr>
            <w:tcW w:w="1232" w:type="dxa"/>
            <w:vAlign w:val="center"/>
          </w:tcPr>
          <w:p>
            <w:pPr>
              <w:pStyle w:val="0"/>
              <w:jc w:val="center"/>
            </w:pPr>
            <w:r>
              <w:rPr>
                <w:sz w:val="24"/>
              </w:rPr>
              <w:t xml:space="preserve">шт.</w:t>
            </w:r>
          </w:p>
        </w:tc>
        <w:tc>
          <w:tcPr>
            <w:tcW w:w="1324" w:type="dxa"/>
            <w:vAlign w:val="center"/>
          </w:tcPr>
          <w:p>
            <w:pPr>
              <w:pStyle w:val="0"/>
              <w:jc w:val="center"/>
            </w:pPr>
            <w:r>
              <w:rPr>
                <w:sz w:val="24"/>
              </w:rPr>
              <w:t xml:space="preserve">1,3</w:t>
            </w:r>
          </w:p>
        </w:tc>
        <w:tc>
          <w:tcPr>
            <w:tcW w:w="2206"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84" w:type="dxa"/>
            <w:vAlign w:val="center"/>
          </w:tcPr>
          <w:p>
            <w:pPr>
              <w:pStyle w:val="0"/>
              <w:jc w:val="center"/>
            </w:pPr>
            <w:r>
              <w:rPr>
                <w:sz w:val="24"/>
              </w:rPr>
              <w:t xml:space="preserve">2.</w:t>
            </w:r>
          </w:p>
        </w:tc>
        <w:tc>
          <w:tcPr>
            <w:tcW w:w="3525" w:type="dxa"/>
            <w:vAlign w:val="center"/>
          </w:tcPr>
          <w:p>
            <w:pPr>
              <w:pStyle w:val="0"/>
              <w:jc w:val="center"/>
            </w:pPr>
            <w:r>
              <w:rPr>
                <w:sz w:val="24"/>
              </w:rPr>
              <w:t xml:space="preserve">Выполнение работ по замене газоиспользующего оборудования, предназначенного для отопления и приготовления горячей воды на цели хозяйственных и санитарно-гигиенических нужд (аппараты (котлы двухконтурные) газовые)</w:t>
            </w:r>
          </w:p>
        </w:tc>
        <w:tc>
          <w:tcPr>
            <w:tcW w:w="1232" w:type="dxa"/>
            <w:vAlign w:val="center"/>
          </w:tcPr>
          <w:p>
            <w:pPr>
              <w:pStyle w:val="0"/>
              <w:jc w:val="center"/>
            </w:pPr>
            <w:r>
              <w:rPr>
                <w:sz w:val="24"/>
              </w:rPr>
              <w:t xml:space="preserve">шт.</w:t>
            </w:r>
          </w:p>
        </w:tc>
        <w:tc>
          <w:tcPr>
            <w:tcW w:w="1324" w:type="dxa"/>
            <w:vAlign w:val="center"/>
          </w:tcPr>
          <w:p>
            <w:pPr>
              <w:pStyle w:val="0"/>
              <w:jc w:val="center"/>
            </w:pPr>
            <w:r>
              <w:rPr>
                <w:sz w:val="24"/>
              </w:rPr>
              <w:t xml:space="preserve">2,7</w:t>
            </w:r>
          </w:p>
        </w:tc>
        <w:tc>
          <w:tcPr>
            <w:tcW w:w="2206"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84" w:type="dxa"/>
            <w:vAlign w:val="center"/>
          </w:tcPr>
          <w:p>
            <w:pPr>
              <w:pStyle w:val="0"/>
              <w:jc w:val="center"/>
            </w:pPr>
            <w:r>
              <w:rPr>
                <w:sz w:val="24"/>
              </w:rPr>
              <w:t xml:space="preserve">3.</w:t>
            </w:r>
          </w:p>
        </w:tc>
        <w:tc>
          <w:tcPr>
            <w:tcW w:w="3525" w:type="dxa"/>
            <w:vAlign w:val="center"/>
          </w:tcPr>
          <w:p>
            <w:pPr>
              <w:pStyle w:val="0"/>
              <w:jc w:val="center"/>
            </w:pPr>
            <w:r>
              <w:rPr>
                <w:sz w:val="24"/>
              </w:rPr>
              <w:t xml:space="preserve">Выполнение работ по замене газоиспользующего оборудования, предназначенного для отопления (котлы газовые отопительные (одноконтурные) и аппараты водонагревательные емкостные газовые (водонагреватели емкостные газовые) одноконтурные, конвекторы отопительные газовые (газовые конвекторы), устройства газогорелочные для отопительных печей (печные горелки)</w:t>
            </w:r>
          </w:p>
        </w:tc>
        <w:tc>
          <w:tcPr>
            <w:tcW w:w="1232" w:type="dxa"/>
            <w:vAlign w:val="center"/>
          </w:tcPr>
          <w:p>
            <w:pPr>
              <w:pStyle w:val="0"/>
              <w:jc w:val="center"/>
            </w:pPr>
            <w:r>
              <w:rPr>
                <w:sz w:val="24"/>
              </w:rPr>
              <w:t xml:space="preserve">шт.</w:t>
            </w:r>
          </w:p>
        </w:tc>
        <w:tc>
          <w:tcPr>
            <w:tcW w:w="1324" w:type="dxa"/>
            <w:vAlign w:val="center"/>
          </w:tcPr>
          <w:p>
            <w:pPr>
              <w:pStyle w:val="0"/>
              <w:jc w:val="center"/>
            </w:pPr>
            <w:r>
              <w:rPr>
                <w:sz w:val="24"/>
              </w:rPr>
              <w:t xml:space="preserve">2,9</w:t>
            </w:r>
          </w:p>
        </w:tc>
        <w:tc>
          <w:tcPr>
            <w:tcW w:w="2206"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84" w:type="dxa"/>
            <w:vAlign w:val="center"/>
          </w:tcPr>
          <w:p>
            <w:pPr>
              <w:pStyle w:val="0"/>
              <w:jc w:val="center"/>
            </w:pPr>
            <w:r>
              <w:rPr>
                <w:sz w:val="24"/>
              </w:rPr>
              <w:t xml:space="preserve">4.</w:t>
            </w:r>
          </w:p>
        </w:tc>
        <w:tc>
          <w:tcPr>
            <w:tcW w:w="3525" w:type="dxa"/>
            <w:vAlign w:val="center"/>
          </w:tcPr>
          <w:p>
            <w:pPr>
              <w:pStyle w:val="0"/>
              <w:jc w:val="center"/>
            </w:pPr>
            <w:r>
              <w:rPr>
                <w:sz w:val="24"/>
              </w:rPr>
              <w:t xml:space="preserve">Выполнение работ по замене газоиспользующего оборудования, предназначенного для приготовления горячей воды на цели хозяйственных и санитарно-гигиенических нужд (водонагреватели газовые мгновенного действия (водонагреватели проточные газовые), аппараты водонагревательные емкостные газовые (водонагреватели емкостные газовые)</w:t>
            </w:r>
          </w:p>
        </w:tc>
        <w:tc>
          <w:tcPr>
            <w:tcW w:w="1232" w:type="dxa"/>
            <w:vAlign w:val="center"/>
          </w:tcPr>
          <w:p>
            <w:pPr>
              <w:pStyle w:val="0"/>
              <w:jc w:val="center"/>
            </w:pPr>
            <w:r>
              <w:rPr>
                <w:sz w:val="24"/>
              </w:rPr>
              <w:t xml:space="preserve">шт.</w:t>
            </w:r>
          </w:p>
        </w:tc>
        <w:tc>
          <w:tcPr>
            <w:tcW w:w="1324" w:type="dxa"/>
            <w:vAlign w:val="center"/>
          </w:tcPr>
          <w:p>
            <w:pPr>
              <w:pStyle w:val="0"/>
              <w:jc w:val="center"/>
            </w:pPr>
            <w:r>
              <w:rPr>
                <w:sz w:val="24"/>
              </w:rPr>
              <w:t xml:space="preserve">2,44</w:t>
            </w:r>
          </w:p>
        </w:tc>
        <w:tc>
          <w:tcPr>
            <w:tcW w:w="2206"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84" w:type="dxa"/>
            <w:vAlign w:val="center"/>
          </w:tcPr>
          <w:p>
            <w:pPr>
              <w:pStyle w:val="0"/>
              <w:jc w:val="center"/>
            </w:pPr>
            <w:r>
              <w:rPr>
                <w:sz w:val="24"/>
              </w:rPr>
              <w:t xml:space="preserve">5.</w:t>
            </w:r>
          </w:p>
        </w:tc>
        <w:tc>
          <w:tcPr>
            <w:tcW w:w="3525" w:type="dxa"/>
            <w:vAlign w:val="center"/>
          </w:tcPr>
          <w:p>
            <w:pPr>
              <w:pStyle w:val="0"/>
              <w:jc w:val="center"/>
            </w:pPr>
            <w:r>
              <w:rPr>
                <w:sz w:val="24"/>
              </w:rPr>
              <w:t xml:space="preserve">Выполнение работ по замене приборов учета газа</w:t>
            </w:r>
          </w:p>
        </w:tc>
        <w:tc>
          <w:tcPr>
            <w:tcW w:w="1232" w:type="dxa"/>
            <w:vAlign w:val="center"/>
          </w:tcPr>
          <w:p>
            <w:pPr>
              <w:pStyle w:val="0"/>
              <w:jc w:val="center"/>
            </w:pPr>
            <w:r>
              <w:rPr>
                <w:sz w:val="24"/>
              </w:rPr>
              <w:t xml:space="preserve">шт.</w:t>
            </w:r>
          </w:p>
        </w:tc>
        <w:tc>
          <w:tcPr>
            <w:tcW w:w="1324" w:type="dxa"/>
            <w:vAlign w:val="center"/>
          </w:tcPr>
          <w:p>
            <w:pPr>
              <w:pStyle w:val="0"/>
              <w:jc w:val="center"/>
            </w:pPr>
            <w:r>
              <w:rPr>
                <w:sz w:val="24"/>
              </w:rPr>
              <w:t xml:space="preserve">0,85</w:t>
            </w:r>
          </w:p>
        </w:tc>
        <w:tc>
          <w:tcPr>
            <w:tcW w:w="2206"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bl>
    <w:p>
      <w:pPr>
        <w:pStyle w:val="0"/>
        <w:ind w:firstLine="540"/>
        <w:jc w:val="both"/>
      </w:pPr>
      <w:r>
        <w:rPr>
          <w:sz w:val="24"/>
        </w:rPr>
      </w:r>
    </w:p>
    <w:p>
      <w:pPr>
        <w:pStyle w:val="2"/>
        <w:outlineLvl w:val="2"/>
        <w:jc w:val="center"/>
      </w:pPr>
      <w:r>
        <w:rPr>
          <w:sz w:val="24"/>
        </w:rPr>
        <w:t xml:space="preserve">VI. Состав мероприятий по техническому обслуживанию</w:t>
      </w:r>
    </w:p>
    <w:p>
      <w:pPr>
        <w:pStyle w:val="2"/>
        <w:jc w:val="center"/>
      </w:pPr>
      <w:r>
        <w:rPr>
          <w:sz w:val="24"/>
        </w:rPr>
        <w:t xml:space="preserve">внутридомового и внутриквартирного газового оборудования,</w:t>
      </w:r>
    </w:p>
    <w:p>
      <w:pPr>
        <w:pStyle w:val="2"/>
        <w:jc w:val="center"/>
      </w:pPr>
      <w:r>
        <w:rPr>
          <w:sz w:val="24"/>
        </w:rPr>
        <w:t xml:space="preserve">применяемого при газоснабжении жилых домов и многоквартирных</w:t>
      </w:r>
    </w:p>
    <w:p>
      <w:pPr>
        <w:pStyle w:val="2"/>
        <w:jc w:val="center"/>
      </w:pPr>
      <w:r>
        <w:rPr>
          <w:sz w:val="24"/>
        </w:rPr>
        <w:t xml:space="preserve">домов сжиженными углеводородными газами (СУГ)</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70"/>
        <w:gridCol w:w="3539"/>
        <w:gridCol w:w="1218"/>
        <w:gridCol w:w="1338"/>
        <w:gridCol w:w="2207"/>
      </w:tblGrid>
      <w:tr>
        <w:tc>
          <w:tcPr>
            <w:tcW w:w="770" w:type="dxa"/>
          </w:tcPr>
          <w:p>
            <w:pPr>
              <w:pStyle w:val="0"/>
              <w:jc w:val="center"/>
            </w:pPr>
            <w:r>
              <w:rPr>
                <w:sz w:val="24"/>
              </w:rPr>
              <w:t xml:space="preserve">N пункта</w:t>
            </w:r>
          </w:p>
        </w:tc>
        <w:tc>
          <w:tcPr>
            <w:tcW w:w="3539" w:type="dxa"/>
          </w:tcPr>
          <w:p>
            <w:pPr>
              <w:pStyle w:val="0"/>
              <w:jc w:val="center"/>
            </w:pPr>
            <w:r>
              <w:rPr>
                <w:sz w:val="24"/>
              </w:rPr>
              <w:t xml:space="preserve">Мероприятия</w:t>
            </w:r>
          </w:p>
        </w:tc>
        <w:tc>
          <w:tcPr>
            <w:tcW w:w="1218" w:type="dxa"/>
          </w:tcPr>
          <w:p>
            <w:pPr>
              <w:pStyle w:val="0"/>
              <w:jc w:val="center"/>
            </w:pPr>
            <w:r>
              <w:rPr>
                <w:sz w:val="24"/>
              </w:rPr>
              <w:t xml:space="preserve">Единица измерения</w:t>
            </w:r>
          </w:p>
        </w:tc>
        <w:tc>
          <w:tcPr>
            <w:tcW w:w="1338" w:type="dxa"/>
          </w:tcPr>
          <w:p>
            <w:pPr>
              <w:pStyle w:val="0"/>
              <w:jc w:val="center"/>
            </w:pPr>
            <w:r>
              <w:rPr>
                <w:sz w:val="24"/>
              </w:rPr>
              <w:t xml:space="preserve">Норма времени, человеко-часов</w:t>
            </w:r>
          </w:p>
        </w:tc>
        <w:tc>
          <w:tcPr>
            <w:tcW w:w="2207" w:type="dxa"/>
          </w:tcPr>
          <w:p>
            <w:pPr>
              <w:pStyle w:val="0"/>
              <w:jc w:val="center"/>
            </w:pPr>
            <w:r>
              <w:rPr>
                <w:sz w:val="24"/>
              </w:rPr>
              <w:t xml:space="preserve">Работник</w:t>
            </w:r>
          </w:p>
        </w:tc>
      </w:tr>
      <w:tr>
        <w:tc>
          <w:tcPr>
            <w:tcW w:w="770" w:type="dxa"/>
            <w:vAlign w:val="center"/>
          </w:tcPr>
          <w:p>
            <w:pPr>
              <w:pStyle w:val="0"/>
              <w:jc w:val="center"/>
            </w:pPr>
            <w:r>
              <w:rPr>
                <w:sz w:val="24"/>
              </w:rPr>
              <w:t xml:space="preserve">1.</w:t>
            </w:r>
          </w:p>
        </w:tc>
        <w:tc>
          <w:tcPr>
            <w:tcW w:w="3539" w:type="dxa"/>
            <w:vAlign w:val="center"/>
          </w:tcPr>
          <w:p>
            <w:pPr>
              <w:pStyle w:val="0"/>
              <w:jc w:val="center"/>
            </w:pPr>
            <w:r>
              <w:rPr>
                <w:sz w:val="24"/>
              </w:rPr>
              <w:t xml:space="preserve">Выполнение работ по техническому обслуживанию баллонной установки сжиженных углеводородных газов</w:t>
            </w:r>
          </w:p>
        </w:tc>
        <w:tc>
          <w:tcPr>
            <w:tcW w:w="1218" w:type="dxa"/>
            <w:vAlign w:val="center"/>
          </w:tcPr>
          <w:p>
            <w:pPr>
              <w:pStyle w:val="0"/>
              <w:jc w:val="center"/>
            </w:pPr>
            <w:r>
              <w:rPr>
                <w:sz w:val="24"/>
              </w:rPr>
              <w:t xml:space="preserve">шт.</w:t>
            </w:r>
          </w:p>
        </w:tc>
        <w:tc>
          <w:tcPr>
            <w:tcW w:w="1338" w:type="dxa"/>
            <w:vAlign w:val="center"/>
          </w:tcPr>
          <w:p>
            <w:pPr>
              <w:pStyle w:val="0"/>
              <w:jc w:val="center"/>
            </w:pPr>
            <w:r>
              <w:rPr>
                <w:sz w:val="24"/>
              </w:rPr>
              <w:t xml:space="preserve">0,48</w:t>
            </w:r>
          </w:p>
        </w:tc>
        <w:tc>
          <w:tcPr>
            <w:tcW w:w="2207"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r>
        <w:tc>
          <w:tcPr>
            <w:tcW w:w="770" w:type="dxa"/>
            <w:vAlign w:val="center"/>
          </w:tcPr>
          <w:p>
            <w:pPr>
              <w:pStyle w:val="0"/>
              <w:jc w:val="center"/>
            </w:pPr>
            <w:r>
              <w:rPr>
                <w:sz w:val="24"/>
              </w:rPr>
              <w:t xml:space="preserve">2.</w:t>
            </w:r>
          </w:p>
        </w:tc>
        <w:tc>
          <w:tcPr>
            <w:tcW w:w="3539" w:type="dxa"/>
            <w:vAlign w:val="center"/>
          </w:tcPr>
          <w:p>
            <w:pPr>
              <w:pStyle w:val="0"/>
              <w:jc w:val="center"/>
            </w:pPr>
            <w:r>
              <w:rPr>
                <w:sz w:val="24"/>
              </w:rPr>
              <w:t xml:space="preserve">Выполнение работ по техническому обслуживанию резервуарной установки сжиженных углеводородных газов</w:t>
            </w:r>
          </w:p>
        </w:tc>
        <w:tc>
          <w:tcPr>
            <w:tcW w:w="1218" w:type="dxa"/>
            <w:vAlign w:val="center"/>
          </w:tcPr>
          <w:p>
            <w:pPr>
              <w:pStyle w:val="0"/>
              <w:jc w:val="center"/>
            </w:pPr>
            <w:r>
              <w:rPr>
                <w:sz w:val="24"/>
              </w:rPr>
              <w:t xml:space="preserve">шт.</w:t>
            </w:r>
          </w:p>
        </w:tc>
        <w:tc>
          <w:tcPr>
            <w:tcW w:w="1338" w:type="dxa"/>
            <w:vAlign w:val="center"/>
          </w:tcPr>
          <w:p>
            <w:pPr>
              <w:pStyle w:val="0"/>
              <w:jc w:val="center"/>
            </w:pPr>
            <w:r>
              <w:rPr>
                <w:sz w:val="24"/>
              </w:rPr>
              <w:t xml:space="preserve">0,68</w:t>
            </w:r>
          </w:p>
        </w:tc>
        <w:tc>
          <w:tcPr>
            <w:tcW w:w="2207" w:type="dxa"/>
            <w:vAlign w:val="center"/>
          </w:tcPr>
          <w:p>
            <w:pPr>
              <w:pStyle w:val="0"/>
              <w:jc w:val="center"/>
            </w:pPr>
            <w:r>
              <w:rPr>
                <w:sz w:val="24"/>
              </w:rPr>
              <w:t xml:space="preserve">Слесарь по эксплуатации и ремонту внутридомового и внутриквартирного газового оборудования</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ФАС России от 18.02.2026 N 98/26</w:t>
            <w:br/>
            <w:t>"Об утверждении Методических указаний по расчету размера платы за предусмотренны...</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23355&amp;date=02.03.2026&amp;dst=1111&amp;field=134&amp;demo=2" TargetMode = "External"/><Relationship Id="rId9" Type="http://schemas.openxmlformats.org/officeDocument/2006/relationships/hyperlink" Target="https://login.consultant.ru/link/?req=doc&amp;base=LAW&amp;n=520310&amp;date=02.03.2026&amp;dst=257&amp;field=134&amp;demo=2" TargetMode = "External"/><Relationship Id="rId10" Type="http://schemas.openxmlformats.org/officeDocument/2006/relationships/hyperlink" Target="https://login.consultant.ru/link/?req=doc&amp;base=LAW&amp;n=507477&amp;date=02.03.2026&amp;dst=100300&amp;field=134&amp;demo=2" TargetMode = "External"/><Relationship Id="rId11" Type="http://schemas.openxmlformats.org/officeDocument/2006/relationships/hyperlink" Target="https://login.consultant.ru/link/?req=doc&amp;base=LAW&amp;n=520310&amp;date=02.03.2026&amp;dst=257&amp;field=134&amp;demo=2" TargetMode = "External"/><Relationship Id="rId12" Type="http://schemas.openxmlformats.org/officeDocument/2006/relationships/hyperlink" Target="https://login.consultant.ru/link/?req=doc&amp;base=LAW&amp;n=448436&amp;date=02.03.2026&amp;dst=100036&amp;field=134&amp;demo=2" TargetMode = "External"/><Relationship Id="rId13" Type="http://schemas.openxmlformats.org/officeDocument/2006/relationships/hyperlink" Target="https://login.consultant.ru/link/?req=doc&amp;base=LAW&amp;n=520310&amp;date=02.03.2026&amp;dst=259&amp;field=134&amp;demo=2" TargetMode = "External"/><Relationship Id="rId14" Type="http://schemas.openxmlformats.org/officeDocument/2006/relationships/image" Target="media/image2.wmf"/><Relationship Id="rId15" Type="http://schemas.openxmlformats.org/officeDocument/2006/relationships/hyperlink" Target="https://login.consultant.ru/link/?req=doc&amp;base=LAW&amp;n=503689&amp;date=02.03.2026&amp;demo=2" TargetMode = "External"/><Relationship Id="rId16" Type="http://schemas.openxmlformats.org/officeDocument/2006/relationships/image" Target="media/image3.wmf"/><Relationship Id="rId17" Type="http://schemas.openxmlformats.org/officeDocument/2006/relationships/image" Target="media/image4.wmf"/><Relationship Id="rId18" Type="http://schemas.openxmlformats.org/officeDocument/2006/relationships/image" Target="media/image5.wmf"/><Relationship Id="rId19" Type="http://schemas.openxmlformats.org/officeDocument/2006/relationships/hyperlink" Target="https://login.consultant.ru/link/?req=doc&amp;base=LAW&amp;n=480785&amp;date=02.03.2026&amp;dst=100374&amp;field=134&amp;demo=2" TargetMode = "External"/><Relationship Id="rId20" Type="http://schemas.openxmlformats.org/officeDocument/2006/relationships/image" Target="media/image6.wmf"/><Relationship Id="rId21" Type="http://schemas.openxmlformats.org/officeDocument/2006/relationships/image" Target="media/image7.wmf"/><Relationship Id="rId22" Type="http://schemas.openxmlformats.org/officeDocument/2006/relationships/image" Target="media/image8.wmf"/><Relationship Id="rId23" Type="http://schemas.openxmlformats.org/officeDocument/2006/relationships/hyperlink" Target="https://login.consultant.ru/link/?req=doc&amp;base=LAW&amp;n=480785&amp;date=02.03.2026&amp;dst=100374&amp;field=134&amp;demo=2" TargetMode = "External"/><Relationship Id="rId24" Type="http://schemas.openxmlformats.org/officeDocument/2006/relationships/image" Target="media/image9.wmf"/><Relationship Id="rId25" Type="http://schemas.openxmlformats.org/officeDocument/2006/relationships/image" Target="media/image10.wmf"/><Relationship Id="rId26" Type="http://schemas.openxmlformats.org/officeDocument/2006/relationships/hyperlink" Target="https://login.consultant.ru/link/?req=doc&amp;base=LAW&amp;n=480785&amp;date=02.03.2026&amp;dst=100374&amp;field=134&amp;demo=2" TargetMode = "External"/><Relationship Id="rId27" Type="http://schemas.openxmlformats.org/officeDocument/2006/relationships/image" Target="media/image11.wmf"/><Relationship Id="rId28" Type="http://schemas.openxmlformats.org/officeDocument/2006/relationships/image" Target="media/image12.wmf"/><Relationship Id="rId29" Type="http://schemas.openxmlformats.org/officeDocument/2006/relationships/hyperlink" Target="https://login.consultant.ru/link/?req=doc&amp;base=LAW&amp;n=431832&amp;date=02.03.2026&amp;dst=378&amp;field=134&amp;demo=2" TargetMode = "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ФАС России от 18.02.2026 N 98/26
"Об утверждении Методических указаний по расчету размера платы за предусмотренные утвержденным Правительством Российской Федерации минимальным перечнем услуг (работ) по техническому обслуживанию и ремонту внутридомового газового оборудования в многоквартирном доме, внутриквартирного газового оборудования в многоквартирном доме и внутридомового газового оборудования в жилом доме техническое обслуживание, установку (за исключением случаев, предусмотренных правилами техн</dc:title>
  <dcterms:created xsi:type="dcterms:W3CDTF">2026-03-02T13:15:00Z</dcterms:created>
</cp:coreProperties>
</file>