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ФИНАНСОВ РОССИЙСКОЙ ФЕДЕРАЦИИ</w:t>
      </w:r>
    </w:p>
    <w:p>
      <w:pPr>
        <w:pStyle w:val="2"/>
        <w:jc w:val="center"/>
      </w:pPr>
      <w:r>
        <w:rPr>
          <w:sz w:val="24"/>
        </w:rPr>
      </w:r>
    </w:p>
    <w:p>
      <w:pPr>
        <w:pStyle w:val="2"/>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ПИСЬМО</w:t>
      </w:r>
    </w:p>
    <w:p>
      <w:pPr>
        <w:pStyle w:val="2"/>
        <w:jc w:val="center"/>
      </w:pPr>
      <w:r>
        <w:rPr>
          <w:sz w:val="24"/>
        </w:rPr>
        <w:t xml:space="preserve">от 3 марта 2026 г. N ЕА-36-3/1625@</w:t>
      </w:r>
    </w:p>
    <w:p>
      <w:pPr>
        <w:pStyle w:val="2"/>
        <w:jc w:val="center"/>
      </w:pPr>
      <w:r>
        <w:rPr>
          <w:sz w:val="24"/>
        </w:rPr>
      </w:r>
    </w:p>
    <w:p>
      <w:pPr>
        <w:pStyle w:val="2"/>
        <w:jc w:val="center"/>
      </w:pPr>
      <w:r>
        <w:rPr>
          <w:sz w:val="24"/>
        </w:rPr>
        <w:t xml:space="preserve">О ПОРЯДКЕ ЗАПОЛНЕНИЯ НАЛОГОВОЙ ДЕКЛАРАЦИИ ПО УСН</w:t>
      </w:r>
    </w:p>
    <w:p>
      <w:pPr>
        <w:pStyle w:val="0"/>
        <w:ind w:firstLine="540"/>
        <w:jc w:val="both"/>
      </w:pPr>
      <w:r>
        <w:rPr>
          <w:sz w:val="24"/>
        </w:rPr>
      </w:r>
    </w:p>
    <w:p>
      <w:pPr>
        <w:pStyle w:val="0"/>
        <w:ind w:firstLine="540"/>
        <w:jc w:val="both"/>
      </w:pPr>
      <w:r>
        <w:rPr>
          <w:sz w:val="24"/>
        </w:rPr>
        <w:t xml:space="preserve">Федеральная налоговая служба в связи поступающими обращениями территориальных налоговых органов и налогоплательщиков по порядку заполнения налоговой декларации по налогу, уплачиваемому в связи с применением упрощенной системы налогообложения (далее - УСН), сообщает следующее.</w:t>
      </w:r>
    </w:p>
    <w:p>
      <w:pPr>
        <w:pStyle w:val="0"/>
        <w:spacing w:before="240" w:lineRule="auto"/>
        <w:ind w:firstLine="540"/>
        <w:jc w:val="both"/>
      </w:pPr>
      <w:r>
        <w:rPr>
          <w:sz w:val="24"/>
        </w:rPr>
        <w:t xml:space="preserve">Согласно положениям </w:t>
      </w:r>
      <w:hyperlink w:history="0" r:id="rId7" w:tooltip="&quot;Налоговый кодекс Российской Федерации (часть вторая)&quot; от 05.08.2000 N 117-ФЗ (ред. от 20.02.2026) (с изм. и доп., вступ. в силу с 01.03.2026) {КонсультантПлюс}">
        <w:r>
          <w:rPr>
            <w:sz w:val="24"/>
            <w:color w:val="0000ff"/>
          </w:rPr>
          <w:t xml:space="preserve">абзаца седьмого пункта 3.1 статьи 346.21</w:t>
        </w:r>
      </w:hyperlink>
      <w:r>
        <w:rPr>
          <w:sz w:val="24"/>
        </w:rPr>
        <w:t xml:space="preserve"> Налогового кодекса Российской Федерации (далее - Кодекс) индивидуальные предприниматели, выбравшие в качестве объекта налогообложения доходы, уменьшают сумму налога (авансовых платежей по налогу), исчисленную за налоговый (отчетный) период, на сумму страховых взносов на обязательное пенсионное страхование и на обязательное медицинское страхование, подлежащую уплате в данном налоговом периоде в соответствии со </w:t>
      </w:r>
      <w:hyperlink w:history="0" r:id="rId8" w:tooltip="&quot;Налоговый кодекс Российской Федерации (часть вторая)&quot; от 05.08.2000 N 117-ФЗ (ред. от 20.02.2026) (с изм. и доп., вступ. в силу с 01.03.2026) {КонсультантПлюс}">
        <w:r>
          <w:rPr>
            <w:sz w:val="24"/>
            <w:color w:val="0000ff"/>
          </w:rPr>
          <w:t xml:space="preserve">статьей 430</w:t>
        </w:r>
      </w:hyperlink>
      <w:r>
        <w:rPr>
          <w:sz w:val="24"/>
        </w:rPr>
        <w:t xml:space="preserve"> Кодекса.</w:t>
      </w:r>
    </w:p>
    <w:p>
      <w:pPr>
        <w:pStyle w:val="0"/>
        <w:spacing w:before="240" w:lineRule="auto"/>
        <w:ind w:firstLine="540"/>
        <w:jc w:val="both"/>
      </w:pPr>
      <w:hyperlink w:history="0" r:id="rId9" w:tooltip="&lt;Письмо&gt; ФНС России от 08.04.2024 N СД-4-3/4104@ &lt;О возможности уменьшения налога, уплачиваемого в связи с применением УСН и/или ПСН на подлежащие уплате страховые взносы в размере 1% с доходов, превышающих 300 тыс. руб.&gt; {КонсультантПлюс}">
        <w:r>
          <w:rPr>
            <w:sz w:val="24"/>
            <w:color w:val="0000ff"/>
          </w:rPr>
          <w:t xml:space="preserve">Письмом</w:t>
        </w:r>
      </w:hyperlink>
      <w:r>
        <w:rPr>
          <w:sz w:val="24"/>
        </w:rPr>
        <w:t xml:space="preserve"> ФНС России от 08.04.2024 N СД-4-3/4104@ разъяснено, что для целей уменьшения налога (авансовых платежей по налогу) по УСН, страховые взносы, исчисленные в размере 1% с доходов, превышающих 300 тыс. рублей, за расчетный период 2024 года, уплата которых в соответствии с </w:t>
      </w:r>
      <w:hyperlink w:history="0" r:id="rId10" w:tooltip="&quot;Налоговый кодекс Российской Федерации (часть вторая)&quot; от 05.08.2000 N 117-ФЗ (ред. от 20.02.2026) (с изм. и доп., вступ. в силу с 01.03.2026) {КонсультантПлюс}">
        <w:r>
          <w:rPr>
            <w:sz w:val="24"/>
            <w:color w:val="0000ff"/>
          </w:rPr>
          <w:t xml:space="preserve">пунктом 2 статьи 432</w:t>
        </w:r>
      </w:hyperlink>
      <w:r>
        <w:rPr>
          <w:sz w:val="24"/>
        </w:rPr>
        <w:t xml:space="preserve"> Кодекса должна быть осуществлена не позднее 01.07.2025, могут быть признаны по выбору налогоплательщика подлежащими уплате как в 2024 году, так и в 2025 году.</w:t>
      </w:r>
    </w:p>
    <w:p>
      <w:pPr>
        <w:pStyle w:val="0"/>
        <w:spacing w:before="240" w:lineRule="auto"/>
        <w:ind w:firstLine="540"/>
        <w:jc w:val="both"/>
      </w:pPr>
      <w:r>
        <w:rPr>
          <w:sz w:val="24"/>
        </w:rPr>
        <w:t xml:space="preserve">При этом указанная сумма страховых взносов, на которые налогоплательщиком уменьшен налог (авансовые платежи по налогу) по УСН за налоговый период (отчетные периоды) 2024 года, повторно не учитывается при уменьшении налога (авансовых платежей по налогу) по УСН за налоговый период (отчетные периоды) 2025 года.</w:t>
      </w:r>
    </w:p>
    <w:p>
      <w:pPr>
        <w:pStyle w:val="0"/>
        <w:spacing w:before="240" w:lineRule="auto"/>
        <w:ind w:firstLine="540"/>
        <w:jc w:val="both"/>
      </w:pPr>
      <w:r>
        <w:rPr>
          <w:sz w:val="24"/>
        </w:rPr>
        <w:t xml:space="preserve">В аналогичном порядке следует учитывать указанные страховые взносы за последующие расчетные периоды.</w:t>
      </w:r>
    </w:p>
    <w:p>
      <w:pPr>
        <w:pStyle w:val="0"/>
        <w:spacing w:before="240" w:lineRule="auto"/>
        <w:ind w:firstLine="540"/>
        <w:jc w:val="both"/>
      </w:pPr>
      <w:r>
        <w:rPr>
          <w:sz w:val="24"/>
        </w:rPr>
        <w:t xml:space="preserve">Новая </w:t>
      </w:r>
      <w:hyperlink w:history="0" r:id="rId11"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форма</w:t>
        </w:r>
      </w:hyperlink>
      <w:r>
        <w:rPr>
          <w:sz w:val="24"/>
        </w:rPr>
        <w:t xml:space="preserve"> налоговой декларации по УСН (далее - Декларация), </w:t>
      </w:r>
      <w:hyperlink w:history="0" r:id="rId12"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порядок</w:t>
        </w:r>
      </w:hyperlink>
      <w:r>
        <w:rPr>
          <w:sz w:val="24"/>
        </w:rPr>
        <w:t xml:space="preserve"> заполнения и </w:t>
      </w:r>
      <w:hyperlink w:history="0" r:id="rId13"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формат</w:t>
        </w:r>
      </w:hyperlink>
      <w:r>
        <w:rPr>
          <w:sz w:val="24"/>
        </w:rPr>
        <w:t xml:space="preserve"> представления Декларации в электронной форме утверждены приказом ФНС России от 26.11.2025 N ЕД-7-3/1017@ "Об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w:t>
      </w:r>
    </w:p>
    <w:p>
      <w:pPr>
        <w:pStyle w:val="0"/>
        <w:spacing w:before="240" w:lineRule="auto"/>
        <w:ind w:firstLine="540"/>
        <w:jc w:val="both"/>
      </w:pPr>
      <w:r>
        <w:rPr>
          <w:sz w:val="24"/>
        </w:rPr>
        <w:t xml:space="preserve">Раздел 2.1.1 Декларации дополнен </w:t>
      </w:r>
      <w:hyperlink w:history="0" r:id="rId14"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строками 150</w:t>
        </w:r>
      </w:hyperlink>
      <w:r>
        <w:rPr>
          <w:sz w:val="24"/>
        </w:rPr>
        <w:t xml:space="preserve"> - </w:t>
      </w:r>
      <w:hyperlink w:history="0" r:id="rId15"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162</w:t>
        </w:r>
      </w:hyperlink>
      <w:r>
        <w:rPr>
          <w:sz w:val="24"/>
        </w:rPr>
        <w:t xml:space="preserve">.</w:t>
      </w:r>
    </w:p>
    <w:p>
      <w:pPr>
        <w:pStyle w:val="0"/>
        <w:spacing w:before="240" w:lineRule="auto"/>
        <w:ind w:firstLine="540"/>
        <w:jc w:val="both"/>
      </w:pPr>
      <w:r>
        <w:rPr>
          <w:sz w:val="24"/>
        </w:rPr>
        <w:t xml:space="preserve">Согласно </w:t>
      </w:r>
      <w:hyperlink w:history="0" r:id="rId16"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пункту 47</w:t>
        </w:r>
      </w:hyperlink>
      <w:r>
        <w:rPr>
          <w:sz w:val="24"/>
        </w:rPr>
        <w:t xml:space="preserve"> Порядка заполнения Декларации </w:t>
      </w:r>
      <w:hyperlink w:history="0" r:id="rId17"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строки 150</w:t>
        </w:r>
      </w:hyperlink>
      <w:r>
        <w:rPr>
          <w:sz w:val="24"/>
        </w:rPr>
        <w:t xml:space="preserve"> - </w:t>
      </w:r>
      <w:hyperlink w:history="0" r:id="rId18"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162</w:t>
        </w:r>
      </w:hyperlink>
      <w:r>
        <w:rPr>
          <w:sz w:val="24"/>
        </w:rPr>
        <w:t xml:space="preserve"> заполняют налогоплательщики, являющиеся индивидуальными предпринимателями. По </w:t>
      </w:r>
      <w:hyperlink w:history="0" r:id="rId19"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строке 150</w:t>
        </w:r>
      </w:hyperlink>
      <w:r>
        <w:rPr>
          <w:sz w:val="24"/>
        </w:rPr>
        <w:t xml:space="preserve"> - </w:t>
      </w:r>
      <w:hyperlink w:history="0" r:id="rId20"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162</w:t>
        </w:r>
      </w:hyperlink>
      <w:r>
        <w:rPr>
          <w:sz w:val="24"/>
        </w:rPr>
        <w:t xml:space="preserve"> отражается сумма страховых взносов, установленных </w:t>
      </w:r>
      <w:hyperlink w:history="0" r:id="rId21" w:tooltip="&quot;Налоговый кодекс Российской Федерации (часть вторая)&quot; от 05.08.2000 N 117-ФЗ (ред. от 20.02.2026) (с изм. и доп., вступ. в силу с 01.03.2026) {КонсультантПлюс}">
        <w:r>
          <w:rPr>
            <w:sz w:val="24"/>
            <w:color w:val="0000ff"/>
          </w:rPr>
          <w:t xml:space="preserve">статьей 430</w:t>
        </w:r>
      </w:hyperlink>
      <w:r>
        <w:rPr>
          <w:sz w:val="24"/>
        </w:rPr>
        <w:t xml:space="preserve"> Кодекса, учтенная в </w:t>
      </w:r>
      <w:hyperlink w:history="0" r:id="rId22"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строке 143 Раздела 2.1.1</w:t>
        </w:r>
      </w:hyperlink>
      <w:r>
        <w:rPr>
          <w:sz w:val="24"/>
        </w:rPr>
        <w:t xml:space="preserve"> Декларации.</w:t>
      </w:r>
    </w:p>
    <w:p>
      <w:pPr>
        <w:pStyle w:val="0"/>
        <w:spacing w:before="240" w:lineRule="auto"/>
        <w:ind w:firstLine="540"/>
        <w:jc w:val="both"/>
      </w:pPr>
      <w:r>
        <w:rPr>
          <w:sz w:val="24"/>
        </w:rPr>
        <w:t xml:space="preserve">В случае отсутствия какого-либо показателя для отражения по </w:t>
      </w:r>
      <w:hyperlink w:history="0" r:id="rId23"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строкам 150</w:t>
        </w:r>
      </w:hyperlink>
      <w:r>
        <w:rPr>
          <w:sz w:val="24"/>
        </w:rPr>
        <w:t xml:space="preserve"> - </w:t>
      </w:r>
      <w:hyperlink w:history="0" r:id="rId24"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162</w:t>
        </w:r>
      </w:hyperlink>
      <w:r>
        <w:rPr>
          <w:sz w:val="24"/>
        </w:rPr>
        <w:t xml:space="preserve"> в соответствующем знакоместе проставляется цифра "0".</w:t>
      </w:r>
    </w:p>
    <w:p>
      <w:pPr>
        <w:pStyle w:val="0"/>
        <w:spacing w:before="240" w:lineRule="auto"/>
        <w:ind w:firstLine="540"/>
        <w:jc w:val="both"/>
      </w:pPr>
      <w:r>
        <w:rPr>
          <w:sz w:val="24"/>
        </w:rPr>
        <w:t xml:space="preserve">Пример:</w:t>
      </w:r>
    </w:p>
    <w:p>
      <w:pPr>
        <w:pStyle w:val="0"/>
        <w:spacing w:before="240" w:lineRule="auto"/>
        <w:ind w:firstLine="540"/>
        <w:jc w:val="both"/>
      </w:pPr>
      <w:r>
        <w:rPr>
          <w:sz w:val="24"/>
        </w:rPr>
        <w:t xml:space="preserve">Налогоплательщик в 2024 и 2025 годах применяет УСН с объектом налогообложения в виде доходов.</w:t>
      </w:r>
    </w:p>
    <w:p>
      <w:pPr>
        <w:pStyle w:val="0"/>
        <w:spacing w:before="240" w:lineRule="auto"/>
        <w:ind w:firstLine="540"/>
        <w:jc w:val="both"/>
      </w:pPr>
      <w:r>
        <w:rPr>
          <w:sz w:val="24"/>
        </w:rPr>
        <w:t xml:space="preserve">Доходы налогоплательщика от предпринимательской деятельности, в отношении которой применяется УСН, составили:</w:t>
      </w:r>
    </w:p>
    <w:p>
      <w:pPr>
        <w:pStyle w:val="0"/>
        <w:spacing w:before="240" w:lineRule="auto"/>
        <w:ind w:firstLine="540"/>
        <w:jc w:val="both"/>
      </w:pPr>
      <w:r>
        <w:rPr>
          <w:sz w:val="24"/>
        </w:rPr>
        <w:t xml:space="preserve">- 1 000 000 руб. за 2024 год;</w:t>
      </w:r>
    </w:p>
    <w:p>
      <w:pPr>
        <w:pStyle w:val="0"/>
        <w:spacing w:before="240" w:lineRule="auto"/>
        <w:ind w:firstLine="540"/>
        <w:jc w:val="both"/>
      </w:pPr>
      <w:r>
        <w:rPr>
          <w:sz w:val="24"/>
        </w:rPr>
        <w:t xml:space="preserve">- 1 500 000 руб. за 2025 год.</w:t>
      </w:r>
    </w:p>
    <w:p>
      <w:pPr>
        <w:pStyle w:val="0"/>
        <w:spacing w:before="240" w:lineRule="auto"/>
        <w:ind w:firstLine="540"/>
        <w:jc w:val="both"/>
      </w:pPr>
      <w:r>
        <w:rPr>
          <w:sz w:val="24"/>
        </w:rPr>
        <w:t xml:space="preserve">Страховые взносы в размере 1% с доходов, превышающих 300 тыс. рублей, за 2024 год (по сроку уплаты 01.07.2025) составляют 7 000 руб. (1 000 000 - 300 000) * 1%), за 2025 год (по сроку уплаты 01.07.2026) составляют 12 000 руб. (1 500 000 - 300 000) * 1%).</w:t>
      </w:r>
    </w:p>
    <w:p>
      <w:pPr>
        <w:pStyle w:val="0"/>
        <w:spacing w:before="240" w:lineRule="auto"/>
        <w:ind w:firstLine="540"/>
        <w:jc w:val="both"/>
      </w:pPr>
      <w:r>
        <w:rPr>
          <w:sz w:val="24"/>
        </w:rPr>
        <w:t xml:space="preserve">Налогоплательщик уменьшил налог по УСН за 2024 год только на 5 000 руб. из 7 000 руб., исчисленных страховых взносов в размере 1% с доходов, превышающих 300 тыс. рублей за 2024 год.</w:t>
      </w:r>
    </w:p>
    <w:p>
      <w:pPr>
        <w:pStyle w:val="0"/>
        <w:spacing w:before="240" w:lineRule="auto"/>
        <w:ind w:firstLine="540"/>
        <w:jc w:val="both"/>
      </w:pPr>
      <w:r>
        <w:rPr>
          <w:sz w:val="24"/>
        </w:rPr>
        <w:t xml:space="preserve">Оставшуюся сумму указанных страховых взносов за 2024 год в размере 2 000 руб. налогоплательщик в целях уменьшения налога по УСН вправе учесть в 2025 году.</w:t>
      </w:r>
    </w:p>
    <w:p>
      <w:pPr>
        <w:pStyle w:val="0"/>
        <w:spacing w:before="240" w:lineRule="auto"/>
        <w:ind w:firstLine="540"/>
        <w:jc w:val="both"/>
      </w:pPr>
      <w:r>
        <w:rPr>
          <w:sz w:val="24"/>
        </w:rPr>
        <w:t xml:space="preserve">Исчисленные страховые взносы в размере 1% с доходов, превышающих 300 тыс. рублей за 2025 год, налогоплательщик решил учесть в полном объеме в 2025 году.</w:t>
      </w:r>
    </w:p>
    <w:p>
      <w:pPr>
        <w:pStyle w:val="0"/>
        <w:spacing w:before="240" w:lineRule="auto"/>
        <w:ind w:firstLine="540"/>
        <w:jc w:val="both"/>
      </w:pPr>
      <w:r>
        <w:rPr>
          <w:sz w:val="24"/>
        </w:rPr>
        <w:t xml:space="preserve">В указанном случае при представлении налоговой декларации по УСН за налоговый период 2025 года сумма страховых взносов в размере 1% с доходов, превышающих 300 тыс. рублей, отражается:</w:t>
      </w:r>
    </w:p>
    <w:p>
      <w:pPr>
        <w:pStyle w:val="0"/>
        <w:spacing w:before="240" w:lineRule="auto"/>
        <w:ind w:firstLine="540"/>
        <w:jc w:val="both"/>
      </w:pPr>
      <w:r>
        <w:rPr>
          <w:sz w:val="24"/>
        </w:rPr>
        <w:t xml:space="preserve">- по </w:t>
      </w:r>
      <w:hyperlink w:history="0" r:id="rId25"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строке 160 Раздела 2.1.1</w:t>
        </w:r>
      </w:hyperlink>
      <w:r>
        <w:rPr>
          <w:sz w:val="24"/>
        </w:rPr>
        <w:t xml:space="preserve"> Декларации в размере 14 000 руб. (12 000 + 2 000 - общая сумма страховых взносов в размере 1% с доходов, превышающих 300 тыс. рублей, учтенная в целях уменьшения налога по УСН в 2025 году);</w:t>
      </w:r>
    </w:p>
    <w:p>
      <w:pPr>
        <w:pStyle w:val="0"/>
        <w:spacing w:before="240" w:lineRule="auto"/>
        <w:ind w:firstLine="540"/>
        <w:jc w:val="both"/>
      </w:pPr>
      <w:r>
        <w:rPr>
          <w:sz w:val="24"/>
        </w:rPr>
        <w:t xml:space="preserve">- по </w:t>
      </w:r>
      <w:hyperlink w:history="0" r:id="rId26"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строке 161 Раздела 2.1.1</w:t>
        </w:r>
      </w:hyperlink>
      <w:r>
        <w:rPr>
          <w:sz w:val="24"/>
        </w:rPr>
        <w:t xml:space="preserve"> Декларации в размере 12 000 руб. (страховые взносы за расчетный период текущего года);</w:t>
      </w:r>
    </w:p>
    <w:p>
      <w:pPr>
        <w:pStyle w:val="0"/>
        <w:spacing w:before="240" w:lineRule="auto"/>
        <w:ind w:firstLine="540"/>
        <w:jc w:val="both"/>
      </w:pPr>
      <w:r>
        <w:rPr>
          <w:sz w:val="24"/>
        </w:rPr>
        <w:t xml:space="preserve">- по </w:t>
      </w:r>
      <w:hyperlink w:history="0" r:id="rId27" w:tooltip="Приказ ФНС России от 26.11.2025 N ЕД-7-3/1017@ &quot;Об утверждении формы, порядка заполнения и формата представления налоговой декларации по налогу, уплачиваемому в связи с применением упрощенной системы налогообложения, в электронной форме&quot; (Зарегистрировано в Минюсте России 26.12.2025 N 84818) {КонсультантПлюс}">
        <w:r>
          <w:rPr>
            <w:sz w:val="24"/>
            <w:color w:val="0000ff"/>
          </w:rPr>
          <w:t xml:space="preserve">строке 162 Раздела 2.1.1</w:t>
        </w:r>
      </w:hyperlink>
      <w:r>
        <w:rPr>
          <w:sz w:val="24"/>
        </w:rPr>
        <w:t xml:space="preserve"> Декларации в размере 2 000 руб. (страховые взносы за расчетный период предыдущего года).</w:t>
      </w:r>
    </w:p>
    <w:p>
      <w:pPr>
        <w:pStyle w:val="0"/>
        <w:spacing w:before="240" w:lineRule="auto"/>
        <w:ind w:firstLine="540"/>
        <w:jc w:val="both"/>
      </w:pPr>
      <w:r>
        <w:rPr>
          <w:sz w:val="24"/>
        </w:rPr>
        <w:t xml:space="preserve">Управлениям ФНС России по субъектам Российской Федерации поручается довести данное письмо до нижестоящих налоговых органов.</w:t>
      </w:r>
    </w:p>
    <w:p>
      <w:pPr>
        <w:pStyle w:val="0"/>
        <w:ind w:firstLine="540"/>
        <w:jc w:val="both"/>
      </w:pPr>
      <w:r>
        <w:rPr>
          <w:sz w:val="24"/>
        </w:rPr>
      </w:r>
    </w:p>
    <w:p>
      <w:pPr>
        <w:pStyle w:val="0"/>
        <w:jc w:val="right"/>
      </w:pPr>
      <w:r>
        <w:rPr>
          <w:sz w:val="24"/>
        </w:rPr>
        <w:t xml:space="preserve">Действительный</w:t>
      </w:r>
    </w:p>
    <w:p>
      <w:pPr>
        <w:pStyle w:val="0"/>
        <w:jc w:val="right"/>
      </w:pPr>
      <w:r>
        <w:rPr>
          <w:sz w:val="24"/>
        </w:rPr>
        <w:t xml:space="preserve">государственный советник</w:t>
      </w:r>
    </w:p>
    <w:p>
      <w:pPr>
        <w:pStyle w:val="0"/>
        <w:jc w:val="right"/>
      </w:pPr>
      <w:r>
        <w:rPr>
          <w:sz w:val="24"/>
        </w:rPr>
        <w:t xml:space="preserve">Российской Федерации</w:t>
      </w:r>
    </w:p>
    <w:p>
      <w:pPr>
        <w:pStyle w:val="0"/>
        <w:jc w:val="right"/>
      </w:pPr>
      <w:r>
        <w:rPr>
          <w:sz w:val="24"/>
        </w:rPr>
        <w:t xml:space="preserve">2 класса</w:t>
      </w:r>
    </w:p>
    <w:p>
      <w:pPr>
        <w:pStyle w:val="0"/>
        <w:jc w:val="right"/>
      </w:pPr>
      <w:r>
        <w:rPr>
          <w:sz w:val="24"/>
        </w:rPr>
        <w:t xml:space="preserve">А.В.ЕГОРИЧЕВ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ФНС России от 03.03.2026 N ЕА-36-3/1625@</w:t>
            <w:br/>
            <w:t>"О порядке заполнения налоговой декларации по УСН"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12.03.2026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ФНС России от 03.03.2026 N ЕА-36-3/1625@ "О порядке заполнения налоговой декларации по УСН"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11718&amp;date=12.03.2026&amp;dst=24093&amp;field=134&amp;demo=2" TargetMode = "External"/><Relationship Id="rId8" Type="http://schemas.openxmlformats.org/officeDocument/2006/relationships/hyperlink" Target="https://login.consultant.ru/link/?req=doc&amp;base=LAW&amp;n=511718&amp;date=12.03.2026&amp;dst=13620&amp;field=134&amp;demo=2" TargetMode = "External"/><Relationship Id="rId9" Type="http://schemas.openxmlformats.org/officeDocument/2006/relationships/hyperlink" Target="https://login.consultant.ru/link/?req=doc&amp;base=LAW&amp;n=474231&amp;date=12.03.2026&amp;dst=100009&amp;field=134&amp;demo=2" TargetMode = "External"/><Relationship Id="rId10" Type="http://schemas.openxmlformats.org/officeDocument/2006/relationships/hyperlink" Target="https://login.consultant.ru/link/?req=doc&amp;base=LAW&amp;n=511718&amp;date=12.03.2026&amp;dst=26809&amp;field=134&amp;demo=2" TargetMode = "External"/><Relationship Id="rId11" Type="http://schemas.openxmlformats.org/officeDocument/2006/relationships/hyperlink" Target="https://login.consultant.ru/link/?req=doc&amp;base=LAW&amp;n=523379&amp;date=12.03.2026&amp;dst=100021&amp;field=134&amp;demo=2" TargetMode = "External"/><Relationship Id="rId12" Type="http://schemas.openxmlformats.org/officeDocument/2006/relationships/hyperlink" Target="https://login.consultant.ru/link/?req=doc&amp;base=LAW&amp;n=523379&amp;date=12.03.2026&amp;dst=100337&amp;field=134&amp;demo=2" TargetMode = "External"/><Relationship Id="rId13" Type="http://schemas.openxmlformats.org/officeDocument/2006/relationships/hyperlink" Target="https://login.consultant.ru/link/?req=doc&amp;base=LAW&amp;n=523379&amp;date=12.03.2026&amp;dst=100821&amp;field=134&amp;demo=2" TargetMode = "External"/><Relationship Id="rId14" Type="http://schemas.openxmlformats.org/officeDocument/2006/relationships/hyperlink" Target="https://login.consultant.ru/link/?req=doc&amp;base=LAW&amp;n=523379&amp;date=12.03.2026&amp;dst=100152&amp;field=134&amp;demo=2" TargetMode = "External"/><Relationship Id="rId15" Type="http://schemas.openxmlformats.org/officeDocument/2006/relationships/hyperlink" Target="https://login.consultant.ru/link/?req=doc&amp;base=LAW&amp;n=523379&amp;date=12.03.2026&amp;dst=100156&amp;field=134&amp;demo=2" TargetMode = "External"/><Relationship Id="rId16" Type="http://schemas.openxmlformats.org/officeDocument/2006/relationships/hyperlink" Target="https://login.consultant.ru/link/?req=doc&amp;base=LAW&amp;n=523379&amp;date=12.03.2026&amp;dst=100517&amp;field=134&amp;demo=2" TargetMode = "External"/><Relationship Id="rId17" Type="http://schemas.openxmlformats.org/officeDocument/2006/relationships/hyperlink" Target="https://login.consultant.ru/link/?req=doc&amp;base=LAW&amp;n=523379&amp;date=12.03.2026&amp;dst=100152&amp;field=134&amp;demo=2" TargetMode = "External"/><Relationship Id="rId18" Type="http://schemas.openxmlformats.org/officeDocument/2006/relationships/hyperlink" Target="https://login.consultant.ru/link/?req=doc&amp;base=LAW&amp;n=523379&amp;date=12.03.2026&amp;dst=100156&amp;field=134&amp;demo=2" TargetMode = "External"/><Relationship Id="rId19" Type="http://schemas.openxmlformats.org/officeDocument/2006/relationships/hyperlink" Target="https://login.consultant.ru/link/?req=doc&amp;base=LAW&amp;n=523379&amp;date=12.03.2026&amp;dst=100152&amp;field=134&amp;demo=2" TargetMode = "External"/><Relationship Id="rId20" Type="http://schemas.openxmlformats.org/officeDocument/2006/relationships/hyperlink" Target="https://login.consultant.ru/link/?req=doc&amp;base=LAW&amp;n=523379&amp;date=12.03.2026&amp;dst=100156&amp;field=134&amp;demo=2" TargetMode = "External"/><Relationship Id="rId21" Type="http://schemas.openxmlformats.org/officeDocument/2006/relationships/hyperlink" Target="https://login.consultant.ru/link/?req=doc&amp;base=LAW&amp;n=511718&amp;date=12.03.2026&amp;dst=13620&amp;field=134&amp;demo=2" TargetMode = "External"/><Relationship Id="rId22" Type="http://schemas.openxmlformats.org/officeDocument/2006/relationships/hyperlink" Target="https://login.consultant.ru/link/?req=doc&amp;base=LAW&amp;n=523379&amp;date=12.03.2026&amp;dst=100150&amp;field=134&amp;demo=2" TargetMode = "External"/><Relationship Id="rId23" Type="http://schemas.openxmlformats.org/officeDocument/2006/relationships/hyperlink" Target="https://login.consultant.ru/link/?req=doc&amp;base=LAW&amp;n=523379&amp;date=12.03.2026&amp;dst=100152&amp;field=134&amp;demo=2" TargetMode = "External"/><Relationship Id="rId24" Type="http://schemas.openxmlformats.org/officeDocument/2006/relationships/hyperlink" Target="https://login.consultant.ru/link/?req=doc&amp;base=LAW&amp;n=523379&amp;date=12.03.2026&amp;dst=100156&amp;field=134&amp;demo=2" TargetMode = "External"/><Relationship Id="rId25" Type="http://schemas.openxmlformats.org/officeDocument/2006/relationships/hyperlink" Target="https://login.consultant.ru/link/?req=doc&amp;base=LAW&amp;n=523379&amp;date=12.03.2026&amp;dst=100154&amp;field=134&amp;demo=2" TargetMode = "External"/><Relationship Id="rId26" Type="http://schemas.openxmlformats.org/officeDocument/2006/relationships/hyperlink" Target="https://login.consultant.ru/link/?req=doc&amp;base=LAW&amp;n=523379&amp;date=12.03.2026&amp;dst=100155&amp;field=134&amp;demo=2" TargetMode = "External"/><Relationship Id="rId27" Type="http://schemas.openxmlformats.org/officeDocument/2006/relationships/hyperlink" Target="https://login.consultant.ru/link/?req=doc&amp;base=LAW&amp;n=523379&amp;date=12.03.2026&amp;dst=100156&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ФНС России от 03.03.2026 N ЕА-36-3/1625@
"О порядке заполнения налоговой декларации по УСН"</dc:title>
  <dcterms:created xsi:type="dcterms:W3CDTF">2026-03-12T08:08:15Z</dcterms:created>
</cp:coreProperties>
</file>