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 марта 2026 г. N 11064-ДН/06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Абзацем 3 пункта 118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установлено, что в случае если потребитель частично оплачивает предоставляемые исполнителем коммунальные услуги и услуги по содержанию жилого помещения,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платы, указанной в платежном документе. В этом случае исполнитель рассчитывает задолженность потребителя по каждому виду коммунальной услуги исходя из частично неоплаченной суммы.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положение неоднократно было предметом рассмотрения судов.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частности, Конституционный суд Российской Федерации определениями от 17.02.2015 </w:t>
      </w:r>
      <w:hyperlink w:history="0" r:id="rId9" w:tooltip="Определение Конституционного Суда РФ от 17.02.2015 N 338-О &quot;Об отказе в принятии к рассмотрению жалобы гражданина Жаворонкова Олега Борисовича на нарушение его конституционных прав пунктом 118 Правил предоставления коммунальных услуг собственникам и пользователям помещений в многоквартирных домах и жилых домов&quot; {КонсультантПлюс}">
        <w:r>
          <w:rPr>
            <w:sz w:val="24"/>
            <w:color w:val="0000ff"/>
          </w:rPr>
          <w:t xml:space="preserve">N 338-О</w:t>
        </w:r>
      </w:hyperlink>
      <w:r>
        <w:rPr>
          <w:sz w:val="24"/>
        </w:rPr>
        <w:t xml:space="preserve">, от 27.03.2018 </w:t>
      </w:r>
      <w:hyperlink w:history="0" r:id="rId10" w:tooltip="Определение Конституционного Суда РФ от 27.03.2018 N 707-О &quot;Об отказе в принятии к рассмотрению жалобы гражданки Черновой Тамары Николаевны на нарушение ее конституционных прав абзацем третьим пункта 118 Правил предоставления коммунальных услуг собственникам и пользователям помещений в многоквартирных домах и жилых домов&quot; {КонсультантПлюс}">
        <w:r>
          <w:rPr>
            <w:sz w:val="24"/>
            <w:color w:val="0000ff"/>
          </w:rPr>
          <w:t xml:space="preserve">N 707-О</w:t>
        </w:r>
      </w:hyperlink>
      <w:r>
        <w:rPr>
          <w:sz w:val="24"/>
        </w:rPr>
        <w:t xml:space="preserve">, Верховный суд Российской Федерации </w:t>
      </w:r>
      <w:hyperlink w:history="0" r:id="rId11" w:tooltip="Решение Судебной коллегии по административным делам Верховного Суда РФ от 04.10.2022 N АКПИ22-651 &lt;Об отказе в удовлетворении заявления о признании недействующим абзаца 3 пункта 118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N 354&gt; {КонсультантПлюс}">
        <w:r>
          <w:rPr>
            <w:sz w:val="24"/>
            <w:color w:val="0000ff"/>
          </w:rPr>
          <w:t xml:space="preserve">решением</w:t>
        </w:r>
      </w:hyperlink>
      <w:r>
        <w:rPr>
          <w:sz w:val="24"/>
        </w:rPr>
        <w:t xml:space="preserve"> от 04.10.2022 N АКПИ22-651 (далее - Решение ВС РФ N АКПИ22-651) установили, что </w:t>
      </w:r>
      <w:hyperlink w:history="0" r:id="rId1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абзац третий пункта 118</w:t>
        </w:r>
      </w:hyperlink>
      <w:r>
        <w:rPr>
          <w:sz w:val="24"/>
        </w:rPr>
        <w:t xml:space="preserve"> Правил N 354, рассматриваемый в системной взаимосвязи с положениями Гражданского </w:t>
      </w: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(далее - ГК РФ) об обязанности надлежащего исполнения обязательств (</w:t>
      </w:r>
      <w:hyperlink w:history="0" r:id="rId1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статья 309</w:t>
        </w:r>
      </w:hyperlink>
      <w:r>
        <w:rPr>
          <w:sz w:val="24"/>
        </w:rPr>
        <w:t xml:space="preserve"> ГК РФ) и исполнении обязательства по частям (</w:t>
      </w:r>
      <w:hyperlink w:history="0" r:id="rId15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статья 311</w:t>
        </w:r>
      </w:hyperlink>
      <w:r>
        <w:rPr>
          <w:sz w:val="24"/>
        </w:rPr>
        <w:t xml:space="preserve"> ГК РФ), а также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153</w:t>
        </w:r>
      </w:hyperlink>
      <w:r>
        <w:rPr>
          <w:sz w:val="24"/>
        </w:rPr>
        <w:t xml:space="preserve"> ЖК РФ, согласно которой граждане и организации обязаны своевременно и полностью вносить плату за жилое помещение и коммунальные услуги, направлен на обеспечение баланса интересов потребителя и исполнителя, предоставляющего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7" w:tooltip="Решение Судебной коллегии по административным делам Верховного Суда РФ от 04.10.2022 N АКПИ22-651 &lt;Об отказе в удовлетворении заявления о признании недействующим абзаца 3 пункта 118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N 354&gt; {КонсультантПлюс}">
        <w:r>
          <w:rPr>
            <w:sz w:val="24"/>
            <w:color w:val="0000ff"/>
          </w:rPr>
          <w:t xml:space="preserve">Решении</w:t>
        </w:r>
      </w:hyperlink>
      <w:r>
        <w:rPr>
          <w:sz w:val="24"/>
        </w:rPr>
        <w:t xml:space="preserve"> ВС РФ N АКПИ22-651 отмечено, что потребитель, оплачивая жилое помещение и коммунальные услуги, в том числе на основании единого платежного документа, исполняет свои обязательства перед несколькими лицами (лицо, управляющее многоквартирным домом, товарищество собственников жилья, поставщики коммунальных услуг: холодной и горячей воды, тепловой и электрической энергии, газа и т.д., региональный оператор по обращению с твердыми коммунальными отходами, фонд капитального ремонта).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Положение </w:t>
      </w:r>
      <w:hyperlink w:history="0" r:id="rId1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118</w:t>
        </w:r>
      </w:hyperlink>
      <w:r>
        <w:rPr>
          <w:sz w:val="24"/>
        </w:rPr>
        <w:t xml:space="preserve"> Правил N 354 не лишает потребителя коммунальных услуг возможности своевременно и в полном объеме оплачивать коммунальные услуги и не возлагает на него дополнительных обязательств, не предусмотренных федеральным законодательством.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Рассматриваемое правовое регулирование обусловлено необходимостью равного и справедливого распределения денежных средств, полученных исполнителями коммунальных услуг от потребителей коммунальных услуг, между ресурсоснабжающими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федерального закона или иного акта, имеющих большую юридическую силу и устанавливающих иной порядок распределения полученной платы в случае частичной оплаты и расчета задолженности потребителя коммунальных услуг, не имеется.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15 статьи 155</w:t>
        </w:r>
      </w:hyperlink>
      <w:r>
        <w:rPr>
          <w:sz w:val="24"/>
        </w:rPr>
        <w:t xml:space="preserve"> ЖК РФ исполнители коммунальных услуг и лица, осуществляющие управление многоквартирными домами,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агентов, осуществляющих деятельность по приему платежей физических лиц, а также банковских платежных агентов, осуществляющих деятельность в соответствии с законодательством о банках и банковской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расчеты за жилое помещение и коммунальные услуги могут осуществляться в том числе посредством расчетно-кассовых центров на основании договора между поставщиком услуг и расчетно-кассовом центром.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законодательства о банках и банковской деятельности и законодательства, регулирующего деятельность платежных агентов, не определяют порядок расщепления платежными агентами и банковскими платежными агентами платежей за жилое помещение и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необходимо осуществлять расщепление платежей за жилое помещение и коммунальные услуги в порядке, установленном жилищным законодательством.</w:t>
      </w:r>
    </w:p>
    <w:p>
      <w:pPr>
        <w:pStyle w:val="0"/>
        <w:spacing w:before="240" w:lineRule="auto"/>
        <w:ind w:firstLine="540"/>
        <w:jc w:val="both"/>
      </w:pPr>
      <w:hyperlink w:history="0" r:id="rId2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118</w:t>
        </w:r>
      </w:hyperlink>
      <w:r>
        <w:rPr>
          <w:sz w:val="24"/>
        </w:rPr>
        <w:t xml:space="preserve"> Правил N 354 урегулирован порядок расщепления платежей за жилое помещение и коммунальные услуги, в случае если потребитель частично оплачивает потребленные коммунальные услуги и услуги по содержанию жилого помещения.</w:t>
      </w:r>
    </w:p>
    <w:p>
      <w:pPr>
        <w:pStyle w:val="0"/>
        <w:spacing w:before="240" w:lineRule="auto"/>
        <w:ind w:firstLine="540"/>
        <w:jc w:val="both"/>
      </w:pPr>
      <w:hyperlink w:history="0" r:id="rId21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Требований к осуществлению расчетов за ресурсы, необходимые для предоставления коммунальных услуг, утвержденных постановлением Правительства Российской Федерации от 28 марта 2012 г. N 253 (далее - Правила N 253), установлено, что размер платежа исполнителя, причитающегося к перечислению в пользу ресурсоснабжающей организации, поставляющей конкретный вид ресурса, и регионального оператора, в общем размере платежей потребителя определяется в следующем порядке: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отношении платежей потребителя, перечисленных исполнителю за расчетные периоды, следующие за датой вступления в силу </w:t>
      </w:r>
      <w:hyperlink w:history="0" r:id="rId22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253: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осуществлении потребителем оплаты по платежному документу в полном размере - в размере указанной в платежном документе платы за конкретную коммунальную услугу, начисленной потребителю за данный расчетный период в соответствии с </w:t>
      </w:r>
      <w:hyperlink w:history="0" r:id="rId23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осуществлении потребителем оплаты по платежному документу не в полном размере - в размере, пропорциональном размеру платы за конкретную коммунальную услугу в общем размере указанных в платежном документе платежей за работы и услуги, выполненные (предоставленные) за данный расчетный период;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отношении платежей потребителя, перечисленных исполнителю в счет задолженности потребителя за коммунальные услуги, образовавшейся до вступления в силу </w:t>
      </w:r>
      <w:hyperlink w:history="0" r:id="rId24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253, а также при отсутствии в платежных документах указания на расчетный период, за который производится оплата, - в размере, пропорциональном размеру обязательств исполнителя перед ресурсоснабжающей организацией, региональным оператором по оплате соответствующего вида ресурса в общем объеме обязательств исполнителя по оплате всех ресурсов, определенном по состоянию на 1-е число предшествующего расчетного периода.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организации расчетов за жилое помещение и коммунальные услуги при участии платежных агентов и (или) банковских платежных агентов, в том числе расчетно-кассовых центров </w:t>
      </w:r>
      <w:hyperlink w:history="0" r:id="rId2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118</w:t>
        </w:r>
      </w:hyperlink>
      <w:r>
        <w:rPr>
          <w:sz w:val="24"/>
        </w:rPr>
        <w:t xml:space="preserve"> Правил N 354 и </w:t>
      </w:r>
      <w:hyperlink w:history="0" r:id="rId26" w:tooltip="Постановление Правительства РФ от 28.03.2012 N 253 (ред. от 13.07.2019) &quot;О требованиях к осуществлению расчетов за ресурсы, необходимые для предоставления коммунальных услуг&quot;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N 253 подлежат применению.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Требования к содержанию платежного документа установлены </w:t>
      </w:r>
      <w:hyperlink w:history="0" r:id="rId2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69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354).</w:t>
      </w:r>
    </w:p>
    <w:p>
      <w:pPr>
        <w:pStyle w:val="0"/>
        <w:spacing w:before="240" w:lineRule="auto"/>
        <w:ind w:firstLine="540"/>
        <w:jc w:val="both"/>
      </w:pPr>
      <w:hyperlink w:history="0" r:id="rId2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Подпункты "в"</w:t>
        </w:r>
      </w:hyperlink>
      <w:r>
        <w:rPr>
          <w:sz w:val="24"/>
        </w:rPr>
        <w:t xml:space="preserve">, </w:t>
      </w:r>
      <w:hyperlink w:history="0" r:id="rId2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и </w:t>
      </w:r>
      <w:hyperlink w:history="0" r:id="rId3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 Правил N 354 содержат требования по указанию в платежном документе: оплачиваемого месяца, наименования и объема каждого вида оплачиваемой коммунальной услуги, размер платы за каждый вид предоставленных коммунальных услуг за расчетный период и сведений о размере задолженности потребителя за предыдущие расчетные периоды. В соответствии с </w:t>
      </w:r>
      <w:hyperlink w:history="0" r:id="rId3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"к(1)" пункта 69</w:t>
        </w:r>
      </w:hyperlink>
      <w:r>
        <w:rPr>
          <w:sz w:val="24"/>
        </w:rPr>
        <w:t xml:space="preserve"> Правил N 354 в платежном документе указываются штриховые коды, предусмотренные </w:t>
      </w:r>
      <w:hyperlink w:history="0" r:id="rId32" w:tooltip="&quot;ГОСТ Р 56042-2014. Национальный стандарт Российской Федерации. Стандарты финансовых операций. Двумерные символы штрихового кода для осуществления платежей физических лиц&quot; (утв. и введен в действие Приказом Росстандарта от 11.06.2014 N 552-ст) {КонсультантПлюс}">
        <w:r>
          <w:rPr>
            <w:sz w:val="24"/>
            <w:color w:val="0000ff"/>
          </w:rPr>
          <w:t xml:space="preserve">ГОСТ Р 56042-2014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Минстроя России от 26 января 2018 г. N 43/пр утверждена примерная </w:t>
      </w:r>
      <w:hyperlink w:history="0" r:id="rId33" w:tooltip="Приказ Минстроя России от 26.01.2018 N 43/пр &quot;Об утверждении примерной формы платежного документа для внесения платы за содержание и ремонт жилого помещения и предоставление коммунальных услуг&quot; (Зарегистрировано в Минюсте России 14.05.2018 N 51074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единого платежного документа для внесения платы за содержание и ремонт жилого помещения и предоставление коммунальных услуг. Данная </w:t>
      </w:r>
      <w:hyperlink w:history="0" r:id="rId34" w:tooltip="Приказ Минстроя России от 26.01.2018 N 43/пр &quot;Об утверждении примерной формы платежного документа для внесения платы за содержание и ремонт жилого помещения и предоставление коммунальных услуг&quot; (Зарегистрировано в Минюсте России 14.05.2018 N 51074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соответствует требованиям </w:t>
      </w:r>
      <w:hyperlink w:history="0" r:id="rId3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69</w:t>
        </w:r>
      </w:hyperlink>
      <w:r>
        <w:rPr>
          <w:sz w:val="24"/>
        </w:rPr>
        <w:t xml:space="preserve"> Правил N 354 и может быть использована как исполнителями коммунальных услуг, так и лицами, привлеченными исполнителями коммунальных услуг на основании </w:t>
      </w:r>
      <w:hyperlink w:history="0" r:id="rId3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"е" пункта 32</w:t>
        </w:r>
      </w:hyperlink>
      <w:r>
        <w:rPr>
          <w:sz w:val="24"/>
        </w:rPr>
        <w:t xml:space="preserve"> Правил N 354 для начисления платы за коммунальные услуги и доставки платежных документов потребителям.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Каждый элемент платежного документа призван проинформировать потребителя о произведенных начислениях и упростить оплату документа.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 01.03.2026 </w:t>
            </w:r>
            <w:hyperlink w:history="0" r:id="rId37" w:tooltip="Федеральный закон от 24.06.2025 N 177-ФЗ &quot;О внесении изменений в статьи 155 и 171 Жилищного кодекса Российской Федерации и статьи 6 и 7 Федерального закона &quot;О государственной информационной системе жилищно-коммунального хозяйства&quot; {КонсультантПлюс}">
              <w:r>
                <w:rPr>
                  <w:sz w:val="24"/>
                  <w:color w:val="0000ff"/>
                </w:rPr>
                <w:t xml:space="preserve">ФЗ</w:t>
              </w:r>
            </w:hyperlink>
            <w:r>
              <w:rPr>
                <w:sz w:val="24"/>
                <w:color w:val="392c69"/>
              </w:rPr>
              <w:t xml:space="preserve"> от 24.06.2025 N 177-ФЗ в ст. 155 внесены изменения. Плата вносится до 15-го числа месяца, следующего за истекшим расчетным периодом.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По общему правилу, установленному положениями </w:t>
      </w:r>
      <w:hyperlink w:history="0" r:id="rId3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 статьи 153</w:t>
        </w:r>
      </w:hyperlink>
      <w:r>
        <w:rPr>
          <w:sz w:val="24"/>
        </w:rPr>
        <w:t xml:space="preserve"> и </w:t>
      </w:r>
      <w:hyperlink w:history="0" r:id="rId3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статьи 155</w:t>
        </w:r>
      </w:hyperlink>
      <w:r>
        <w:rPr>
          <w:sz w:val="24"/>
        </w:rPr>
        <w:t xml:space="preserve"> ЖК РФ, граждане и организации обязаны своевременно и полностью вносить плату за жилое помещение и коммунальные услуги до 10-го числа месяца, следующего за истекшим расчетным периодом.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потребители вправе по своему выбору на основании </w:t>
      </w:r>
      <w:hyperlink w:history="0" r:id="rId4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подпунктов "в"</w:t>
        </w:r>
      </w:hyperlink>
      <w:r>
        <w:rPr>
          <w:sz w:val="24"/>
        </w:rPr>
        <w:t xml:space="preserve"> и </w:t>
      </w:r>
      <w:hyperlink w:history="0" r:id="rId4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"г" пункта 65</w:t>
        </w:r>
      </w:hyperlink>
      <w:r>
        <w:rPr>
          <w:sz w:val="24"/>
        </w:rPr>
        <w:t xml:space="preserve"> Правил N 354 вносить плату за коммунальные услуги за последний расчетный период частями, не нарушая срок внесения платы, а также осуществлять предварительную оплату в счет будущих расчетных периодов.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обеспечения данного права потребителя направляемый потребителю платежный документ должен обеспечивать возможность раздельной оплаты каждой коммунальной услуги в любой сумме. Вместе с тем, нормативно не предусмотрено, каким образом может обеспечиваться раздельная оплата по услугам, в том числе не запрещено разделять оплату любыми иными техническими средствами, помимо штриховых кодов.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</w:t>
      </w:r>
      <w:hyperlink w:history="0" r:id="rId42" w:tooltip="&quot;ГОСТ Р 56042-2014. Национальный стандарт Российской Федерации. Стандарты финансовых операций. Двумерные символы штрихового кода для осуществления платежей физических лиц&quot; (утв. и введен в действие Приказом Росстандарта от 11.06.2014 N 552-ст) {КонсультантПлюс}">
        <w:r>
          <w:rPr>
            <w:sz w:val="24"/>
            <w:color w:val="0000ff"/>
          </w:rPr>
          <w:t xml:space="preserve">ГОСТ Р 56042-2014</w:t>
        </w:r>
      </w:hyperlink>
      <w:r>
        <w:rPr>
          <w:sz w:val="24"/>
        </w:rPr>
        <w:t xml:space="preserve">, использование на платежном документе символов штрихового кода, как технологии автоматической идентификации и сбора данных, позволяет осуществить автоматизированный ввод реквизитов платежа и этим снизить трудоемкость проведения операции приема платежа, уменьшить количество ошибок, допускаемых клиентами и сотрудниками организаций, принимающих платежи, и сократить время оформления платежа.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задания единых правил использования двумерных символов штрихового кода при осуществлении платежей физическими лицами данный Национальный стандарт финансовых операций Российской Федерации устанавливает требования к содержанию и формату данных, закодированных в двумерном символе штрихового кода, а также перечень двумерных символик штрихового кода для нанесения на платежные документы. Правила задаются как для поставщиков услуг, в адрес которых будут осуществляться платежи, так и для организаций, принимающих платежи физических лиц. Указанные лица вправе самостоятельно выбрать любую используемую для кодирования платежной информации в рамках </w:t>
      </w:r>
      <w:hyperlink w:history="0" r:id="rId43" w:tooltip="&quot;ГОСТ Р 56042-2014. Национальный стандарт Российской Федерации. Стандарты финансовых операций. Двумерные символы штрихового кода для осуществления платежей физических лиц&quot; (утв. и введен в действие Приказом Росстандарта от 11.06.2014 N 552-ст) {КонсультантПлюс}">
        <w:r>
          <w:rPr>
            <w:sz w:val="24"/>
            <w:color w:val="0000ff"/>
          </w:rPr>
          <w:t xml:space="preserve">ГОСТ Р 56042-2014</w:t>
        </w:r>
      </w:hyperlink>
      <w:r>
        <w:rPr>
          <w:sz w:val="24"/>
        </w:rPr>
        <w:t xml:space="preserve"> матричную символику штрихового кода: QR Code, Aztec Code, Data Matrix.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использование на платежном документе символов штрихового кода призвано исключительно ускорить и упростить операцию приема платежа за коммунальные услуги. Нормативно не установлено, что штриховой код служит каким-либо иным целям, в том числе целям разделения платежа в отношении разных поставщиков коммунальных ресурсов.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Разделение оплаты коммунальных услуг возможно - как с помощью нескольких штриховых, так и с помощью одного кода с закодированной в нем информацией по каждой услуге, а также иным технически возможным способом.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Указанные разъяснения касаются платежных документов, выставляемых любым лицом из числа лиц, имеющих право на их выставление.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4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02.03.2026 N 11064-ДН/06</w:t>
            <w:br/>
            <w:t>&lt;О внесении платы за жилое помещение и коммунальные услуги&gt;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02.03.2026 N 11064-ДН/06 &lt;О внесении платы за жилое помещение и коммунальные услуги&gt;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3.03.2026&amp;dst=100015&amp;field=134&amp;demo=2" TargetMode = "External"/><Relationship Id="rId8" Type="http://schemas.openxmlformats.org/officeDocument/2006/relationships/hyperlink" Target="https://login.consultant.ru/link/?req=doc&amp;base=LAW&amp;n=522272&amp;date=13.03.2026&amp;dst=101327&amp;field=134&amp;demo=2" TargetMode = "External"/><Relationship Id="rId9" Type="http://schemas.openxmlformats.org/officeDocument/2006/relationships/hyperlink" Target="https://login.consultant.ru/link/?req=doc&amp;base=ARB&amp;n=420332&amp;date=13.03.2026&amp;demo=2" TargetMode = "External"/><Relationship Id="rId10" Type="http://schemas.openxmlformats.org/officeDocument/2006/relationships/hyperlink" Target="https://login.consultant.ru/link/?req=doc&amp;base=ARB&amp;n=536893&amp;date=13.03.2026&amp;demo=2" TargetMode = "External"/><Relationship Id="rId11" Type="http://schemas.openxmlformats.org/officeDocument/2006/relationships/hyperlink" Target="https://login.consultant.ru/link/?req=doc&amp;base=LAW&amp;n=430560&amp;date=13.03.2026&amp;demo=2" TargetMode = "External"/><Relationship Id="rId12" Type="http://schemas.openxmlformats.org/officeDocument/2006/relationships/hyperlink" Target="https://login.consultant.ru/link/?req=doc&amp;base=LAW&amp;n=522272&amp;date=13.03.2026&amp;dst=101327&amp;field=134&amp;demo=2" TargetMode = "External"/><Relationship Id="rId13" Type="http://schemas.openxmlformats.org/officeDocument/2006/relationships/hyperlink" Target="https://login.consultant.ru/link/?req=doc&amp;base=LAW&amp;n=508490&amp;date=13.03.2026&amp;demo=2" TargetMode = "External"/><Relationship Id="rId14" Type="http://schemas.openxmlformats.org/officeDocument/2006/relationships/hyperlink" Target="https://login.consultant.ru/link/?req=doc&amp;base=LAW&amp;n=508490&amp;date=13.03.2026&amp;dst=101540&amp;field=134&amp;demo=2" TargetMode = "External"/><Relationship Id="rId15" Type="http://schemas.openxmlformats.org/officeDocument/2006/relationships/hyperlink" Target="https://login.consultant.ru/link/?req=doc&amp;base=LAW&amp;n=508490&amp;date=13.03.2026&amp;dst=101544&amp;field=134&amp;demo=2" TargetMode = "External"/><Relationship Id="rId16" Type="http://schemas.openxmlformats.org/officeDocument/2006/relationships/hyperlink" Target="https://login.consultant.ru/link/?req=doc&amp;base=LAW&amp;n=511791&amp;date=13.03.2026&amp;dst=100892&amp;field=134&amp;demo=2" TargetMode = "External"/><Relationship Id="rId17" Type="http://schemas.openxmlformats.org/officeDocument/2006/relationships/hyperlink" Target="https://login.consultant.ru/link/?req=doc&amp;base=LAW&amp;n=430560&amp;date=13.03.2026&amp;dst=100032&amp;field=134&amp;demo=2" TargetMode = "External"/><Relationship Id="rId18" Type="http://schemas.openxmlformats.org/officeDocument/2006/relationships/hyperlink" Target="https://login.consultant.ru/link/?req=doc&amp;base=LAW&amp;n=522272&amp;date=13.03.2026&amp;dst=578&amp;field=134&amp;demo=2" TargetMode = "External"/><Relationship Id="rId19" Type="http://schemas.openxmlformats.org/officeDocument/2006/relationships/hyperlink" Target="https://login.consultant.ru/link/?req=doc&amp;base=LAW&amp;n=511791&amp;date=13.03.2026&amp;dst=884&amp;field=134&amp;demo=2" TargetMode = "External"/><Relationship Id="rId20" Type="http://schemas.openxmlformats.org/officeDocument/2006/relationships/hyperlink" Target="https://login.consultant.ru/link/?req=doc&amp;base=LAW&amp;n=522272&amp;date=13.03.2026&amp;dst=578&amp;field=134&amp;demo=2" TargetMode = "External"/><Relationship Id="rId21" Type="http://schemas.openxmlformats.org/officeDocument/2006/relationships/hyperlink" Target="https://login.consultant.ru/link/?req=doc&amp;base=LAW&amp;n=329722&amp;date=13.03.2026&amp;dst=4&amp;field=134&amp;demo=2" TargetMode = "External"/><Relationship Id="rId22" Type="http://schemas.openxmlformats.org/officeDocument/2006/relationships/hyperlink" Target="https://login.consultant.ru/link/?req=doc&amp;base=LAW&amp;n=329722&amp;date=13.03.2026&amp;dst=100012&amp;field=134&amp;demo=2" TargetMode = "External"/><Relationship Id="rId23" Type="http://schemas.openxmlformats.org/officeDocument/2006/relationships/hyperlink" Target="https://login.consultant.ru/link/?req=doc&amp;base=LAW&amp;n=522272&amp;date=13.03.2026&amp;dst=100031&amp;field=134&amp;demo=2" TargetMode = "External"/><Relationship Id="rId24" Type="http://schemas.openxmlformats.org/officeDocument/2006/relationships/hyperlink" Target="https://login.consultant.ru/link/?req=doc&amp;base=LAW&amp;n=329722&amp;date=13.03.2026&amp;dst=100012&amp;field=134&amp;demo=2" TargetMode = "External"/><Relationship Id="rId25" Type="http://schemas.openxmlformats.org/officeDocument/2006/relationships/hyperlink" Target="https://login.consultant.ru/link/?req=doc&amp;base=LAW&amp;n=522272&amp;date=13.03.2026&amp;dst=578&amp;field=134&amp;demo=2" TargetMode = "External"/><Relationship Id="rId26" Type="http://schemas.openxmlformats.org/officeDocument/2006/relationships/hyperlink" Target="https://login.consultant.ru/link/?req=doc&amp;base=LAW&amp;n=329722&amp;date=13.03.2026&amp;dst=4&amp;field=134&amp;demo=2" TargetMode = "External"/><Relationship Id="rId27" Type="http://schemas.openxmlformats.org/officeDocument/2006/relationships/hyperlink" Target="https://login.consultant.ru/link/?req=doc&amp;base=LAW&amp;n=522272&amp;date=13.03.2026&amp;dst=100328&amp;field=134&amp;demo=2" TargetMode = "External"/><Relationship Id="rId28" Type="http://schemas.openxmlformats.org/officeDocument/2006/relationships/hyperlink" Target="https://login.consultant.ru/link/?req=doc&amp;base=LAW&amp;n=522272&amp;date=13.03.2026&amp;dst=100947&amp;field=134&amp;demo=2" TargetMode = "External"/><Relationship Id="rId29" Type="http://schemas.openxmlformats.org/officeDocument/2006/relationships/hyperlink" Target="https://login.consultant.ru/link/?req=doc&amp;base=LAW&amp;n=522272&amp;date=13.03.2026&amp;dst=100332&amp;field=134&amp;demo=2" TargetMode = "External"/><Relationship Id="rId30" Type="http://schemas.openxmlformats.org/officeDocument/2006/relationships/hyperlink" Target="https://login.consultant.ru/link/?req=doc&amp;base=LAW&amp;n=522272&amp;date=13.03.2026&amp;dst=100341&amp;field=134&amp;demo=2" TargetMode = "External"/><Relationship Id="rId31" Type="http://schemas.openxmlformats.org/officeDocument/2006/relationships/hyperlink" Target="https://login.consultant.ru/link/?req=doc&amp;base=LAW&amp;n=522272&amp;date=13.03.2026&amp;dst=129&amp;field=134&amp;demo=2" TargetMode = "External"/><Relationship Id="rId32" Type="http://schemas.openxmlformats.org/officeDocument/2006/relationships/hyperlink" Target="https://login.consultant.ru/link/?req=doc&amp;base=OTN&amp;n=6525&amp;date=13.03.2026&amp;demo=2" TargetMode = "External"/><Relationship Id="rId33" Type="http://schemas.openxmlformats.org/officeDocument/2006/relationships/hyperlink" Target="https://login.consultant.ru/link/?req=doc&amp;base=LAW&amp;n=297915&amp;date=13.03.2026&amp;dst=100012&amp;field=134&amp;demo=2" TargetMode = "External"/><Relationship Id="rId34" Type="http://schemas.openxmlformats.org/officeDocument/2006/relationships/hyperlink" Target="https://login.consultant.ru/link/?req=doc&amp;base=LAW&amp;n=297915&amp;date=13.03.2026&amp;dst=100012&amp;field=134&amp;demo=2" TargetMode = "External"/><Relationship Id="rId35" Type="http://schemas.openxmlformats.org/officeDocument/2006/relationships/hyperlink" Target="https://login.consultant.ru/link/?req=doc&amp;base=LAW&amp;n=522272&amp;date=13.03.2026&amp;dst=100328&amp;field=134&amp;demo=2" TargetMode = "External"/><Relationship Id="rId36" Type="http://schemas.openxmlformats.org/officeDocument/2006/relationships/hyperlink" Target="https://login.consultant.ru/link/?req=doc&amp;base=LAW&amp;n=522272&amp;date=13.03.2026&amp;dst=100204&amp;field=134&amp;demo=2" TargetMode = "External"/><Relationship Id="rId37" Type="http://schemas.openxmlformats.org/officeDocument/2006/relationships/hyperlink" Target="https://login.consultant.ru/link/?req=doc&amp;base=LAW&amp;n=508372&amp;date=13.03.2026&amp;dst=100011&amp;field=134&amp;demo=2" TargetMode = "External"/><Relationship Id="rId38" Type="http://schemas.openxmlformats.org/officeDocument/2006/relationships/hyperlink" Target="https://login.consultant.ru/link/?req=doc&amp;base=LAW&amp;n=511791&amp;date=13.03.2026&amp;dst=100892&amp;field=134&amp;demo=2" TargetMode = "External"/><Relationship Id="rId39" Type="http://schemas.openxmlformats.org/officeDocument/2006/relationships/hyperlink" Target="https://login.consultant.ru/link/?req=doc&amp;base=LAW&amp;n=511791&amp;date=13.03.2026&amp;dst=1351&amp;field=134&amp;demo=2" TargetMode = "External"/><Relationship Id="rId40" Type="http://schemas.openxmlformats.org/officeDocument/2006/relationships/hyperlink" Target="https://login.consultant.ru/link/?req=doc&amp;base=LAW&amp;n=522272&amp;date=13.03.2026&amp;dst=100323&amp;field=134&amp;demo=2" TargetMode = "External"/><Relationship Id="rId41" Type="http://schemas.openxmlformats.org/officeDocument/2006/relationships/hyperlink" Target="https://login.consultant.ru/link/?req=doc&amp;base=LAW&amp;n=522272&amp;date=13.03.2026&amp;dst=100324&amp;field=134&amp;demo=2" TargetMode = "External"/><Relationship Id="rId42" Type="http://schemas.openxmlformats.org/officeDocument/2006/relationships/hyperlink" Target="https://login.consultant.ru/link/?req=doc&amp;base=OTN&amp;n=6525&amp;date=13.03.2026&amp;demo=2" TargetMode = "External"/><Relationship Id="rId43" Type="http://schemas.openxmlformats.org/officeDocument/2006/relationships/hyperlink" Target="https://login.consultant.ru/link/?req=doc&amp;base=OTN&amp;n=6525&amp;date=13.03.2026&amp;demo=2" TargetMode = "External"/><Relationship Id="rId44" Type="http://schemas.openxmlformats.org/officeDocument/2006/relationships/hyperlink" Target="https://login.consultant.ru/link/?req=doc&amp;base=LAW&amp;n=490536&amp;date=13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02.03.2026 N 11064-ДН/06
&lt;О внесении платы за жилое помещение и коммунальные услуги&gt;</dc:title>
  <dcterms:created xsi:type="dcterms:W3CDTF">2026-03-13T13:26:24Z</dcterms:created>
</cp:coreProperties>
</file>