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 марта 2026 г. N 11590-ДН/04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письмо и в рамках компетенции по вопросам в сфере жилищно-коммунального хозяйства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8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пункта 1 статьи 235</w:t>
        </w:r>
      </w:hyperlink>
      <w:r>
        <w:rPr>
          <w:sz w:val="24"/>
        </w:rPr>
        <w:t xml:space="preserve"> Гражданского кодекса Российской Федерации (далее - ГК РФ) право собственности прекращается при отчуждении собственником своего имущества другим лицам, отказе собственника от права собственности.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статье 236</w:t>
        </w:r>
      </w:hyperlink>
      <w:r>
        <w:rPr>
          <w:sz w:val="24"/>
        </w:rPr>
        <w:t xml:space="preserve"> ГК РФ юридическое лицо может отказаться от права собственности на принадлежащее ему имущество, объявив об этом либо совершив другие действия, определенно свидетельствующие о его устранении от владения, пользования и распоряжения имуществом без намерения сохранить какие-либо права на это имущество. При этом, отказ от права собственности не влечет прекращения прав и обязанностей собственника в отношении соответствующего имущества до приобретения права собственности на него другим лицом.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Состав общего имущества в многоквартирном доме (далее - МКД) определяется в соответствии с положениями </w:t>
      </w:r>
      <w:hyperlink w:history="0" r:id="rId1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1 статьи 36</w:t>
        </w:r>
      </w:hyperlink>
      <w:r>
        <w:rPr>
          <w:sz w:val="24"/>
        </w:rPr>
        <w:t xml:space="preserve"> Жилищного кодекса Российской Федерации (далее - ЖК РФ) и </w:t>
      </w:r>
      <w:hyperlink w:history="0" r:id="rId11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 2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 августа 2006 г. N 491 (далее - Правила N 491).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и </w:t>
      </w:r>
      <w:hyperlink w:history="0" r:id="rId13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2 части 1 статьи 36</w:t>
        </w:r>
      </w:hyperlink>
      <w:r>
        <w:rPr>
          <w:sz w:val="24"/>
        </w:rPr>
        <w:t xml:space="preserve"> ЖК РФ и </w:t>
      </w:r>
      <w:hyperlink w:history="0" r:id="rId14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подпунктом "а" пункта 2</w:t>
        </w:r>
      </w:hyperlink>
      <w:r>
        <w:rPr>
          <w:sz w:val="24"/>
        </w:rPr>
        <w:t xml:space="preserve"> Правил N 491 в состав общего имущества включаются помещения в данном доме,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 (технические подвалы), а также иные помещения в данном доме, не принадлежащие отдельным собственникам и предназначенные для удовлетворения социально-бытовых потребностей собственников помещений в данном доме, включая помещения, предназначенные для организации их досуга, культурного развития, детского творчества, занятий физической культурой и спортом и подобных мероприятий.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5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 1</w:t>
        </w:r>
      </w:hyperlink>
      <w:r>
        <w:rPr>
          <w:sz w:val="24"/>
        </w:rPr>
        <w:t xml:space="preserve"> Правил N 491 состав общего имущества определяется: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собственниками помещений в МКД - в целях выполнения обязанности по содержанию общего имущества;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органами государственной власти - в целях контроля за содержанием общего имущества;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органами местного самоуправления - в целях подготовки и проведения открытого конкурса по отбору управляющей организации в соответствии с </w:t>
      </w:r>
      <w:hyperlink w:history="0" r:id="rId16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4 статьи 161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органы местного самоуправления определяют состав общего имущества в МКД только в случае проведения открытого конкурса по отбору управляющей организации, поскольку в рамках проведения такого конкурса разрабатываются условия договора управления МКД, одним из которых в силу </w:t>
      </w:r>
      <w:hyperlink w:history="0" r:id="rId17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пункта 1 части 3 статьи 162</w:t>
        </w:r>
      </w:hyperlink>
      <w:r>
        <w:rPr>
          <w:sz w:val="24"/>
        </w:rPr>
        <w:t xml:space="preserve"> ЖК РФ является состав общего имущества МКД, в отношении которого будет осуществляться управление.</w:t>
      </w:r>
    </w:p>
    <w:p>
      <w:pPr>
        <w:pStyle w:val="0"/>
        <w:spacing w:before="240" w:lineRule="auto"/>
        <w:ind w:firstLine="540"/>
        <w:jc w:val="both"/>
      </w:pPr>
      <w:hyperlink w:history="0" r:id="rId18" w:tooltip="Федеральный закон от 13.07.2015 N 218-ФЗ (ред. от 30.01.2026) &quot;О государственной регистрации недвижимости&quot; (с изм. и доп., вступ. в силу с 01.03.2026) {КонсультантПлюс}">
        <w:r>
          <w:rPr>
            <w:sz w:val="24"/>
            <w:color w:val="0000ff"/>
          </w:rPr>
          <w:t xml:space="preserve">Частью 1 статьи 14</w:t>
        </w:r>
      </w:hyperlink>
      <w:r>
        <w:rPr>
          <w:sz w:val="24"/>
        </w:rPr>
        <w:t xml:space="preserve"> Федерального закона от 13 июля 2015 г. N 218-ФЗ "О государственной регистрации недвижимости" установлен заявительный характер государственной регистрации прав.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Судебной коллегией по экономическим спорам Верховного суда Российской Федерации в </w:t>
      </w:r>
      <w:hyperlink w:history="0" r:id="rId19" w:tooltip="Определение Судебной коллегии по экономическим спорам Верховного Суда Российской Федерации от 03.12.2024 N 306-ЭС24-7025 по делу N А57-2873/2023 Категория: Споры с Росреестром. Требования: О признании незаконным решения об отказе в государственной регистрации прекращения права муниципальной собственности в отношении нежилого помещения. Обстоятельства: В ходе обследования установлено, что в спорном помещении многоквартирного дома расположены внутридомовые инженерные коммуникации. Решение: В удовлетворении тр {КонсультантПлюс}">
        <w:r>
          <w:rPr>
            <w:sz w:val="24"/>
            <w:color w:val="0000ff"/>
          </w:rPr>
          <w:t xml:space="preserve">определении</w:t>
        </w:r>
      </w:hyperlink>
      <w:r>
        <w:rPr>
          <w:sz w:val="24"/>
        </w:rPr>
        <w:t xml:space="preserve"> от 3 декабря 2024 г. N 306-ЭС24-7025 по делу N А57-2873/2023 установлено, что логика порядка ведения Единого государственного реестра недвижимости (далее - ЕГРН) предполагает по общему правилу погашение в соответствующем разделе ЕГРН записи о праве собственности одного лица на объект с одновременным внесением записи о праве собственности иного лица на этот объект (например, в связи с переходом права), записи о праве собственности этого же лица в ином разделе ЕГРН, открытом в отношении нового объекта (например, в связи с преобразованием объекта).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Судом в числе прочего отмечено, что положений, устанавливающих порядок действий государственного регистратора при внесении в ЕГРН записи о прекращении права собственности на объект в связи с отказом от права самого собственника, считающего данный объект относящимся к общему имуществу в МКД, без одновременного волеизъявления собственников помещений в доме на принятие этого объекта в общую долевую собственность, порядок ведения ЕГРН не содержит. При этом прекращение права собственности на объект в связи с ошибочной, по мнению зарегистрированного правообладателя, регистрацией этого права на помещение, которое, как считает муниципальное образование, является общим имуществом, не может быть зарегистрировано по заявлению только данного лица при отсутствии в том числе волеизъявления собственников МКД по вопросу отнесения спорного помещения к общедомовому имуществу.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односторонний отказ муниципального образования от права собственности на муниципальное помещение в МКД без волеизъявления собственников помещений в таком МКД, выраженного в форме решения общего собрания собственников помещений в МКД, которое проводится в порядке, предусмотренном </w:t>
      </w:r>
      <w:hyperlink w:history="0" r:id="rId2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статьями 44</w:t>
        </w:r>
      </w:hyperlink>
      <w:r>
        <w:rPr>
          <w:sz w:val="24"/>
        </w:rPr>
        <w:t xml:space="preserve"> - </w:t>
      </w:r>
      <w:hyperlink w:history="0" r:id="rId21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48</w:t>
        </w:r>
      </w:hyperlink>
      <w:r>
        <w:rPr>
          <w:sz w:val="24"/>
        </w:rPr>
        <w:t xml:space="preserve"> ЖК РФ, по вопросу принятия имущества в состав общего имущества в МКД, не допускается.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отмечается, что правообладатель помещения в МКД, в том числе факт отнесения такого помещения к общему имуществу собственников помещений в МКД, может быть определен в судебном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Расчет размера платы за отопление производится в порядке, установленном </w:t>
      </w:r>
      <w:hyperlink w:history="0" r:id="rId22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г. N 354 (далее - Правила N 354).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передачи нежилого помещения в МКД из собственности муниципального образования в состав общего имущества в МКД в установленном законом порядке, в том числе на основании решения суда, применяемая в утвержденных </w:t>
      </w:r>
      <w:r>
        <w:rPr>
          <w:sz w:val="24"/>
        </w:rPr>
        <w:t xml:space="preserve">Правилами</w:t>
      </w:r>
      <w:r>
        <w:rPr>
          <w:sz w:val="24"/>
        </w:rPr>
        <w:t xml:space="preserve"> N 354 формулах расчета размера платы за отопление величина S</w:t>
      </w:r>
      <w:r>
        <w:rPr>
          <w:sz w:val="24"/>
          <w:vertAlign w:val="superscript"/>
        </w:rPr>
        <w:t xml:space="preserve">ои</w:t>
      </w:r>
      <w:r>
        <w:rPr>
          <w:sz w:val="24"/>
        </w:rPr>
        <w:t xml:space="preserve">, определенная как общая площадь помещений, входящих в состав общего имущества в МКД, увеличивается на размер площади указанного нежилого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величина S</w:t>
      </w:r>
      <w:r>
        <w:rPr>
          <w:sz w:val="24"/>
          <w:vertAlign w:val="superscript"/>
        </w:rPr>
        <w:t xml:space="preserve">об</w:t>
      </w:r>
      <w:r>
        <w:rPr>
          <w:sz w:val="24"/>
        </w:rPr>
        <w:t xml:space="preserve">, определенная как общая площадь всех жилых помещений (квартир) и нежилых помещений в МКД, снижается на величину площади указанного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передачи нежилого помещения в МКД от муниципального образования в состав общего имущества в МКД платежный документ на оплату отопления, потребляемого в таком помещении, не изготавливается. Размер платы за отопление рассчитывается в порядке, предусмотренном </w:t>
      </w:r>
      <w:hyperlink w:history="0" r:id="rId23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354, и предъявляется к оплате собственникам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03.03.2026 N 11590-ДН/04</w:t>
            <w:br/>
            <w:t>&lt;По вопросам в сфере ЖКХ&gt;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03.03.2026 N 11590-ДН/04 &lt;По вопросам в сфере ЖКХ&gt;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13.03.2026&amp;dst=166&amp;field=134&amp;demo=2" TargetMode = "External"/><Relationship Id="rId8" Type="http://schemas.openxmlformats.org/officeDocument/2006/relationships/hyperlink" Target="https://login.consultant.ru/link/?req=doc&amp;base=LAW&amp;n=508490&amp;date=13.03.2026&amp;dst=101251&amp;field=134&amp;demo=2" TargetMode = "External"/><Relationship Id="rId9" Type="http://schemas.openxmlformats.org/officeDocument/2006/relationships/hyperlink" Target="https://login.consultant.ru/link/?req=doc&amp;base=LAW&amp;n=508490&amp;date=13.03.2026&amp;dst=101262&amp;field=134&amp;demo=2" TargetMode = "External"/><Relationship Id="rId10" Type="http://schemas.openxmlformats.org/officeDocument/2006/relationships/hyperlink" Target="https://login.consultant.ru/link/?req=doc&amp;base=LAW&amp;n=511791&amp;date=13.03.2026&amp;dst=101029&amp;field=134&amp;demo=2" TargetMode = "External"/><Relationship Id="rId11" Type="http://schemas.openxmlformats.org/officeDocument/2006/relationships/hyperlink" Target="https://login.consultant.ru/link/?req=doc&amp;base=LAW&amp;n=500914&amp;date=13.03.2026&amp;dst=100028&amp;field=134&amp;demo=2" TargetMode = "External"/><Relationship Id="rId12" Type="http://schemas.openxmlformats.org/officeDocument/2006/relationships/hyperlink" Target="https://login.consultant.ru/link/?req=doc&amp;base=LAW&amp;n=511791&amp;date=13.03.2026&amp;dst=101030&amp;field=134&amp;demo=2" TargetMode = "External"/><Relationship Id="rId13" Type="http://schemas.openxmlformats.org/officeDocument/2006/relationships/hyperlink" Target="https://login.consultant.ru/link/?req=doc&amp;base=LAW&amp;n=511791&amp;date=13.03.2026&amp;dst=1082&amp;field=134&amp;demo=2" TargetMode = "External"/><Relationship Id="rId14" Type="http://schemas.openxmlformats.org/officeDocument/2006/relationships/hyperlink" Target="https://login.consultant.ru/link/?req=doc&amp;base=LAW&amp;n=500914&amp;date=13.03.2026&amp;dst=100220&amp;field=134&amp;demo=2" TargetMode = "External"/><Relationship Id="rId15" Type="http://schemas.openxmlformats.org/officeDocument/2006/relationships/hyperlink" Target="https://login.consultant.ru/link/?req=doc&amp;base=LAW&amp;n=500914&amp;date=13.03.2026&amp;dst=100024&amp;field=134&amp;demo=2" TargetMode = "External"/><Relationship Id="rId16" Type="http://schemas.openxmlformats.org/officeDocument/2006/relationships/hyperlink" Target="https://login.consultant.ru/link/?req=doc&amp;base=LAW&amp;n=511791&amp;date=13.03.2026&amp;dst=780&amp;field=134&amp;demo=2" TargetMode = "External"/><Relationship Id="rId17" Type="http://schemas.openxmlformats.org/officeDocument/2006/relationships/hyperlink" Target="https://login.consultant.ru/link/?req=doc&amp;base=LAW&amp;n=511791&amp;date=13.03.2026&amp;dst=100987&amp;field=134&amp;demo=2" TargetMode = "External"/><Relationship Id="rId18" Type="http://schemas.openxmlformats.org/officeDocument/2006/relationships/hyperlink" Target="https://login.consultant.ru/link/?req=doc&amp;base=LAW&amp;n=511746&amp;date=13.03.2026&amp;dst=100192&amp;field=134&amp;demo=2" TargetMode = "External"/><Relationship Id="rId19" Type="http://schemas.openxmlformats.org/officeDocument/2006/relationships/hyperlink" Target="https://login.consultant.ru/link/?req=doc&amp;base=ARB&amp;n=841814&amp;date=13.03.2026&amp;demo=2" TargetMode = "External"/><Relationship Id="rId20" Type="http://schemas.openxmlformats.org/officeDocument/2006/relationships/hyperlink" Target="https://login.consultant.ru/link/?req=doc&amp;base=LAW&amp;n=511791&amp;date=13.03.2026&amp;dst=100306&amp;field=134&amp;demo=2" TargetMode = "External"/><Relationship Id="rId21" Type="http://schemas.openxmlformats.org/officeDocument/2006/relationships/hyperlink" Target="https://login.consultant.ru/link/?req=doc&amp;base=LAW&amp;n=511791&amp;date=13.03.2026&amp;dst=100340&amp;field=134&amp;demo=2" TargetMode = "External"/><Relationship Id="rId22" Type="http://schemas.openxmlformats.org/officeDocument/2006/relationships/hyperlink" Target="https://login.consultant.ru/link/?req=doc&amp;base=LAW&amp;n=522272&amp;date=13.03.2026&amp;dst=100031&amp;field=134&amp;demo=2" TargetMode = "External"/><Relationship Id="rId23" Type="http://schemas.openxmlformats.org/officeDocument/2006/relationships/hyperlink" Target="https://login.consultant.ru/link/?req=doc&amp;base=LAW&amp;n=522272&amp;date=13.03.2026&amp;dst=10003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03.03.2026 N 11590-ДН/04
&lt;По вопросам в сфере ЖКХ&gt;</dc:title>
  <dcterms:created xsi:type="dcterms:W3CDTF">2026-03-13T14:17:32Z</dcterms:created>
</cp:coreProperties>
</file>