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12.03.2026 N 260</w:t>
              <w:br/>
              <w:t xml:space="preserve">"О внесении изменений в постановление Правительства Российской Федерации от 20 августа 2022 г. N 1469"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12 марта 2026 г. N 260</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ПОСТАНОВЛЕНИЕ ПРАВИТЕЛЬСТВА РОССИЙСКОЙ ФЕДЕРАЦИИ</w:t>
      </w:r>
    </w:p>
    <w:p>
      <w:pPr>
        <w:pStyle w:val="2"/>
        <w:jc w:val="center"/>
      </w:pPr>
      <w:r>
        <w:rPr>
          <w:sz w:val="24"/>
        </w:rPr>
        <w:t xml:space="preserve">ОТ 20 АВГУСТА 2022 Г. N 1469</w:t>
      </w:r>
    </w:p>
    <w:p>
      <w:pPr>
        <w:pStyle w:val="0"/>
        <w:ind w:firstLine="54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Утвердить прилагаемые </w:t>
      </w:r>
      <w:hyperlink w:history="0" w:anchor="P26" w:tooltip="ИЗМЕНЕНИЯ,">
        <w:r>
          <w:rPr>
            <w:sz w:val="24"/>
            <w:color w:val="0000ff"/>
          </w:rPr>
          <w:t xml:space="preserve">изменения</w:t>
        </w:r>
      </w:hyperlink>
      <w:r>
        <w:rPr>
          <w:sz w:val="24"/>
        </w:rPr>
        <w:t xml:space="preserve">, которые вносятся в </w:t>
      </w:r>
      <w:hyperlink w:history="0" r:id="rId8"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Правила</w:t>
        </w:r>
      </w:hyperlink>
      <w:r>
        <w:rPr>
          <w:sz w:val="24"/>
        </w:rPr>
        <w:t xml:space="preserve"> предоставления финансовой поддержки на переселение граждан из аварийного жилищного фонда, утвержденные постановлением Правительства Российской Федерации от 20 августа 2022 г. N 1469 "Об утверждении Правил предоставления финансовой поддержки на переселение граждан из аварийного жилищного фонда" (Собрание законодательства Российской Федерации, 2022, N 35, ст. 6102; N 51, ст. 9234; 2023, N 23, ст. 4174; N 38, ст. 6917; 2024, N 25, ст. 3519; 2025, N 27, ст. 3764).</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12 марта 2026 г. N 260</w:t>
      </w:r>
    </w:p>
    <w:p>
      <w:pPr>
        <w:pStyle w:val="0"/>
        <w:jc w:val="center"/>
      </w:pPr>
      <w:r>
        <w:rPr>
          <w:sz w:val="24"/>
        </w:rPr>
      </w:r>
    </w:p>
    <w:bookmarkStart w:id="26" w:name="P26"/>
    <w:bookmarkEnd w:id="26"/>
    <w:p>
      <w:pPr>
        <w:pStyle w:val="2"/>
        <w:jc w:val="center"/>
      </w:pPr>
      <w:r>
        <w:rPr>
          <w:sz w:val="24"/>
        </w:rPr>
        <w:t xml:space="preserve">ИЗМЕНЕНИЯ,</w:t>
      </w:r>
    </w:p>
    <w:p>
      <w:pPr>
        <w:pStyle w:val="2"/>
        <w:jc w:val="center"/>
      </w:pPr>
      <w:r>
        <w:rPr>
          <w:sz w:val="24"/>
        </w:rPr>
        <w:t xml:space="preserve">КОТОРЫЕ ВНОСЯТСЯ В ПРАВИЛА ПРЕДОСТАВЛЕНИЯ ФИНАНСОВОЙ</w:t>
      </w:r>
    </w:p>
    <w:p>
      <w:pPr>
        <w:pStyle w:val="2"/>
        <w:jc w:val="center"/>
      </w:pPr>
      <w:r>
        <w:rPr>
          <w:sz w:val="24"/>
        </w:rPr>
        <w:t xml:space="preserve">ПОДДЕРЖКИ НА ПЕРЕСЕЛЕНИЕ ГРАЖДАН ИЗ АВАРИЙНОГО</w:t>
      </w:r>
    </w:p>
    <w:p>
      <w:pPr>
        <w:pStyle w:val="2"/>
        <w:jc w:val="center"/>
      </w:pPr>
      <w:r>
        <w:rPr>
          <w:sz w:val="24"/>
        </w:rPr>
        <w:t xml:space="preserve">ЖИЛИЩНОГО ФОНДА</w:t>
      </w:r>
    </w:p>
    <w:p>
      <w:pPr>
        <w:pStyle w:val="0"/>
        <w:ind w:firstLine="540"/>
        <w:jc w:val="both"/>
      </w:pPr>
      <w:r>
        <w:rPr>
          <w:sz w:val="24"/>
        </w:rPr>
      </w:r>
    </w:p>
    <w:p>
      <w:pPr>
        <w:pStyle w:val="0"/>
        <w:ind w:firstLine="540"/>
        <w:jc w:val="both"/>
      </w:pPr>
      <w:r>
        <w:rPr>
          <w:sz w:val="24"/>
        </w:rPr>
        <w:t xml:space="preserve">1. В </w:t>
      </w:r>
      <w:hyperlink w:history="0" r:id="rId9"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пункте 2</w:t>
        </w:r>
      </w:hyperlink>
      <w:r>
        <w:rPr>
          <w:sz w:val="24"/>
        </w:rPr>
        <w:t xml:space="preserve">:</w:t>
      </w:r>
    </w:p>
    <w:p>
      <w:pPr>
        <w:pStyle w:val="0"/>
        <w:spacing w:before="240" w:lineRule="auto"/>
        <w:ind w:firstLine="540"/>
        <w:jc w:val="both"/>
      </w:pPr>
      <w:r>
        <w:rPr>
          <w:sz w:val="24"/>
        </w:rPr>
        <w:t xml:space="preserve">а) в </w:t>
      </w:r>
      <w:hyperlink w:history="0" r:id="rId10"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абзаце пятом</w:t>
        </w:r>
      </w:hyperlink>
      <w:r>
        <w:rPr>
          <w:sz w:val="24"/>
        </w:rPr>
        <w:t xml:space="preserve"> слова "пунктами 3 - 4(1), 4(3) и 4(4)" заменить словами "пунктами 3 - 4(1), 4(3), 4(4) и 4(6) - 4(8)";</w:t>
      </w:r>
    </w:p>
    <w:p>
      <w:pPr>
        <w:pStyle w:val="0"/>
        <w:spacing w:before="240" w:lineRule="auto"/>
        <w:ind w:firstLine="540"/>
        <w:jc w:val="both"/>
      </w:pPr>
      <w:r>
        <w:rPr>
          <w:sz w:val="24"/>
        </w:rPr>
        <w:t xml:space="preserve">б) </w:t>
      </w:r>
      <w:hyperlink w:history="0" r:id="rId11"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"сверхлимитная финансовая поддержка" - предоставленная субъекту Российской Федерации финансовая поддержка за счет временно свободных средств Фонда сверх установленного для данного субъекта Российской Федерации лимита предоставления финансовой поддержки на текущий год в размере, определенном в соответствии с пунктом 20 настоящих Правил.".</w:t>
      </w:r>
    </w:p>
    <w:p>
      <w:pPr>
        <w:pStyle w:val="0"/>
        <w:spacing w:before="240" w:lineRule="auto"/>
        <w:ind w:firstLine="540"/>
        <w:jc w:val="both"/>
      </w:pPr>
      <w:r>
        <w:rPr>
          <w:sz w:val="24"/>
        </w:rPr>
        <w:t xml:space="preserve">2. </w:t>
      </w:r>
      <w:hyperlink w:history="0" r:id="rId12"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Дополнить</w:t>
        </w:r>
      </w:hyperlink>
      <w:r>
        <w:rPr>
          <w:sz w:val="24"/>
        </w:rPr>
        <w:t xml:space="preserve"> пунктом 4(8) следующего содержания:</w:t>
      </w:r>
    </w:p>
    <w:p>
      <w:pPr>
        <w:pStyle w:val="0"/>
        <w:spacing w:before="240" w:lineRule="auto"/>
        <w:ind w:firstLine="540"/>
        <w:jc w:val="both"/>
      </w:pPr>
      <w:r>
        <w:rPr>
          <w:sz w:val="24"/>
        </w:rPr>
        <w:t xml:space="preserve">"4(8). При наступлении любого из условий, предусмотренных пунктом 4(5) настоящих Правил, которые привели к превышению размера предоставленной субъекту Российской Федерации сверхлимитной финансовой поддержки над суммой размеров лимитов предоставления финансовой поддержки на предстоящие 2 года, устанавливаемых такому субъекту Российской Федерации в соответствии с пунктами 4(4), 4(6) и 4(7) настоящих Правил (далее - размеры превышения уточненных лимитов), размер лимита предоставления финансовой поддержки для указанного субъекта Российской Федерации для третьего года, следующего за годом предоставления сверхлимитной финансовой поддержки, подлежит уменьшению на размер превышения уточненного лимита.</w:t>
      </w:r>
    </w:p>
    <w:p>
      <w:pPr>
        <w:pStyle w:val="0"/>
        <w:spacing w:before="240" w:lineRule="auto"/>
        <w:ind w:firstLine="540"/>
        <w:jc w:val="both"/>
      </w:pPr>
      <w:r>
        <w:rPr>
          <w:sz w:val="24"/>
        </w:rPr>
        <w:t xml:space="preserve">Одновременно рассчитанный в соответствии с пунктами 4(4), 4(6) и 4(7) настоящих Правил размер лимита предоставления финансовой поддержки i-го субъекта Российской Федерации (за исключением субъектов Российской Федерации, указанных в абзаце первом настоящего пункта) определяется следующим образом:</w:t>
      </w:r>
    </w:p>
    <w:p>
      <w:pPr>
        <w:pStyle w:val="0"/>
        <w:spacing w:before="240" w:lineRule="auto"/>
        <w:ind w:firstLine="540"/>
        <w:jc w:val="both"/>
      </w:pPr>
      <w:r>
        <w:rPr>
          <w:sz w:val="24"/>
        </w:rPr>
        <w:t xml:space="preserve">для года, следующего за годом предоставления сверхлимитной финансовой поддержки субъектам Российской Федерации, указанным в абзаце первом настоящего пункта, - подлежит уменьшению на сумму размеров превышения уточненных лимитов, распределенную пропорционально размеру лимита предоставления финансовой поддержки соответствующего i-го субъекта Российской Федерации к сумме размеров лимитов предоставления финансовой поддержки всех субъектов Российской Федерации (за исключением субъектов Российской Федерации, указанных в абзаце первом настоящего пункта);</w:t>
      </w:r>
    </w:p>
    <w:p>
      <w:pPr>
        <w:pStyle w:val="0"/>
        <w:spacing w:before="240" w:lineRule="auto"/>
        <w:ind w:firstLine="540"/>
        <w:jc w:val="both"/>
      </w:pPr>
      <w:r>
        <w:rPr>
          <w:sz w:val="24"/>
        </w:rPr>
        <w:t xml:space="preserve">для третьего года, следующего за годом предоставления сверхлимитной финансовой поддержки субъектам Российской Федерации, указанным в абзаце первом настоящего пункта, - подлежит увеличению на ту же сумму размеров превышения уточненных лимитов, рассчитанную в соответствии с абзацем третьим настоящего пункта.".</w:t>
      </w:r>
    </w:p>
    <w:p>
      <w:pPr>
        <w:pStyle w:val="0"/>
        <w:spacing w:before="240" w:lineRule="auto"/>
        <w:ind w:firstLine="540"/>
        <w:jc w:val="both"/>
      </w:pPr>
      <w:r>
        <w:rPr>
          <w:sz w:val="24"/>
        </w:rPr>
        <w:t xml:space="preserve">3. В </w:t>
      </w:r>
      <w:hyperlink w:history="0" r:id="rId13"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абзаце первом пункта 5</w:t>
        </w:r>
      </w:hyperlink>
      <w:r>
        <w:rPr>
          <w:sz w:val="24"/>
        </w:rPr>
        <w:t xml:space="preserve">:</w:t>
      </w:r>
    </w:p>
    <w:p>
      <w:pPr>
        <w:pStyle w:val="0"/>
        <w:spacing w:before="240" w:lineRule="auto"/>
        <w:ind w:firstLine="540"/>
        <w:jc w:val="both"/>
      </w:pPr>
      <w:r>
        <w:rPr>
          <w:sz w:val="24"/>
        </w:rPr>
        <w:t xml:space="preserve">слова "пунктами 3 - 4(1), 4(3), 4(4) и 4(7)" заменить словами "пунктами 3 - 4(1), 4(3), 4(4), 4(7) и 4(8)";</w:t>
      </w:r>
    </w:p>
    <w:p>
      <w:pPr>
        <w:pStyle w:val="0"/>
        <w:spacing w:before="240" w:lineRule="auto"/>
        <w:ind w:firstLine="540"/>
        <w:jc w:val="both"/>
      </w:pPr>
      <w:r>
        <w:rPr>
          <w:sz w:val="24"/>
        </w:rPr>
        <w:t xml:space="preserve">дополнить предложением следующего содержания: "Фонд в течение 10 рабочих дней со дня принятия указанного решения направляет такое решение высшему исполнительному органу субъекта Российской Федерации.".</w:t>
      </w:r>
    </w:p>
    <w:p>
      <w:pPr>
        <w:pStyle w:val="0"/>
        <w:spacing w:before="240" w:lineRule="auto"/>
        <w:ind w:firstLine="540"/>
        <w:jc w:val="both"/>
      </w:pPr>
      <w:r>
        <w:rPr>
          <w:sz w:val="24"/>
        </w:rPr>
        <w:t xml:space="preserve">4. </w:t>
      </w:r>
      <w:hyperlink w:history="0" r:id="rId14"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Подпункт "в" пункта 6</w:t>
        </w:r>
      </w:hyperlink>
      <w:r>
        <w:rPr>
          <w:sz w:val="24"/>
        </w:rPr>
        <w:t xml:space="preserve"> изложить в следующей редакции:</w:t>
      </w:r>
    </w:p>
    <w:p>
      <w:pPr>
        <w:pStyle w:val="0"/>
        <w:spacing w:before="240" w:lineRule="auto"/>
        <w:ind w:firstLine="540"/>
        <w:jc w:val="both"/>
      </w:pPr>
      <w:r>
        <w:rPr>
          <w:sz w:val="24"/>
        </w:rPr>
        <w:t xml:space="preserve">"в) принятие субъектом Российской Федерации в соответствии с договором, предусмотренным </w:t>
      </w:r>
      <w:hyperlink w:history="0" r:id="rId15" w:tooltip="Федеральный закон от 29.07.2017 N 218-ФЗ (ред. от 07.04.2025) &quot;О публично-правовой компании &quot;Фонд развития территорий&quot; и о внесении изменений в отдельные законодательные акты Российской Федерации&quot; (с изм. и доп., вступ. в силу с 14.12.2025) {КонсультантПлюс}">
        <w:r>
          <w:rPr>
            <w:sz w:val="24"/>
            <w:color w:val="0000ff"/>
          </w:rPr>
          <w:t xml:space="preserve">частью 8 статьи 13.6</w:t>
        </w:r>
      </w:hyperlink>
      <w:r>
        <w:rPr>
          <w:sz w:val="24"/>
        </w:rPr>
        <w:t xml:space="preserve"> Федерального закона "О публично-правовой компании "Фонд развития территорий" и о внесении изменений в отдельные законодательные акты Российской Федерации" (далее - договор), обязательства обеспечить непредоставление и неиспользование земельных участков, на которых располагались многоквартирные дома, общая площадь аварийного жилищного фонда в которых учитывалась при расчете лимита предоставления финансовой поддержки, в целях, отличных от целей размещения объектов коммунального обслуживания, социального обслуживания, здравоохранения, образования и просвещения, общественного управления, спортивной инфраструктуры для занятий физической культурой и спортом, обустройства мест для пеших прогулок, размещения парков, садов и скверов, объектов транспортной инфраструктуры, общественных парковок, строительства многоквартирных домов, домов блокированной застройки, а также земельных участков в населенных пунктах, численность населения которых не превышает 30 тыс. человек, в целях, отличных от целей индивидуального жилищного строительства, в случаях предоставления земельных участков гражданам в соответствии с </w:t>
      </w:r>
      <w:hyperlink w:history="0" r:id="rId16"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подпунктами 6</w:t>
        </w:r>
      </w:hyperlink>
      <w:r>
        <w:rPr>
          <w:sz w:val="24"/>
        </w:rPr>
        <w:t xml:space="preserve"> и </w:t>
      </w:r>
      <w:hyperlink w:history="0" r:id="rId17"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7 статьи 39.5</w:t>
        </w:r>
      </w:hyperlink>
      <w:r>
        <w:rPr>
          <w:sz w:val="24"/>
        </w:rPr>
        <w:t xml:space="preserve"> и </w:t>
      </w:r>
      <w:hyperlink w:history="0" r:id="rId18"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подпунктами 6</w:t>
        </w:r>
      </w:hyperlink>
      <w:r>
        <w:rPr>
          <w:sz w:val="24"/>
        </w:rPr>
        <w:t xml:space="preserve"> и </w:t>
      </w:r>
      <w:hyperlink w:history="0" r:id="rId19"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7 пункта 2 статьи 39.10</w:t>
        </w:r>
      </w:hyperlink>
      <w:r>
        <w:rPr>
          <w:sz w:val="24"/>
        </w:rPr>
        <w:t xml:space="preserve"> Земельного кодекса Российской Федерации. Данное условие не применяется к земельным участкам:</w:t>
      </w:r>
    </w:p>
    <w:p>
      <w:pPr>
        <w:pStyle w:val="0"/>
        <w:spacing w:before="240" w:lineRule="auto"/>
        <w:ind w:firstLine="540"/>
        <w:jc w:val="both"/>
      </w:pPr>
      <w:r>
        <w:rPr>
          <w:sz w:val="24"/>
        </w:rPr>
        <w:t xml:space="preserve">на которых располагались указанные многоквартирные дома, если переселение граждан из таких многоквартирных домов осуществлялось в рамках реализации решения о комплексном развитии территории жилой застройки;</w:t>
      </w:r>
    </w:p>
    <w:p>
      <w:pPr>
        <w:pStyle w:val="0"/>
        <w:spacing w:before="240" w:lineRule="auto"/>
        <w:ind w:firstLine="540"/>
        <w:jc w:val="both"/>
      </w:pPr>
      <w:r>
        <w:rPr>
          <w:sz w:val="24"/>
        </w:rPr>
        <w:t xml:space="preserve">под многоквартирными домами, входящими в состав аварийного жилищного фонда, жилые помещения в которых были расселены с использованием финансовой поддержки за счет средств Фонда, включенным в решение о комплексном развитии территории жилой застройки;</w:t>
      </w:r>
    </w:p>
    <w:p>
      <w:pPr>
        <w:pStyle w:val="0"/>
        <w:spacing w:before="240" w:lineRule="auto"/>
        <w:ind w:firstLine="540"/>
        <w:jc w:val="both"/>
      </w:pPr>
      <w:r>
        <w:rPr>
          <w:sz w:val="24"/>
        </w:rPr>
        <w:t xml:space="preserve">на которых располагаются многоквартирные дома, являющиеся объектами культурного наследия, включенными в единый государственный реестр объектов культурного наследия (памятников истории и культуры) народов Российской Федерации, или выявленными объектами культурного наследия.".</w:t>
      </w:r>
    </w:p>
    <w:p>
      <w:pPr>
        <w:pStyle w:val="0"/>
        <w:spacing w:before="240" w:lineRule="auto"/>
        <w:ind w:firstLine="540"/>
        <w:jc w:val="both"/>
      </w:pPr>
      <w:r>
        <w:rPr>
          <w:sz w:val="24"/>
        </w:rPr>
        <w:t xml:space="preserve">5. В </w:t>
      </w:r>
      <w:hyperlink w:history="0" r:id="rId20"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пункте 10</w:t>
        </w:r>
      </w:hyperlink>
      <w:r>
        <w:rPr>
          <w:sz w:val="24"/>
        </w:rPr>
        <w:t xml:space="preserve">:</w:t>
      </w:r>
    </w:p>
    <w:p>
      <w:pPr>
        <w:pStyle w:val="0"/>
        <w:spacing w:before="240" w:lineRule="auto"/>
        <w:ind w:firstLine="540"/>
        <w:jc w:val="both"/>
      </w:pPr>
      <w:r>
        <w:rPr>
          <w:sz w:val="24"/>
        </w:rPr>
        <w:t xml:space="preserve">а) в </w:t>
      </w:r>
      <w:hyperlink w:history="0" r:id="rId21"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абзаце первом</w:t>
        </w:r>
      </w:hyperlink>
      <w:r>
        <w:rPr>
          <w:sz w:val="24"/>
        </w:rPr>
        <w:t xml:space="preserve"> слова "установленными в абзаце втором" заменить словами "установленными в абзацах втором - девятом";</w:t>
      </w:r>
    </w:p>
    <w:p>
      <w:pPr>
        <w:pStyle w:val="0"/>
        <w:spacing w:before="240" w:lineRule="auto"/>
        <w:ind w:firstLine="540"/>
        <w:jc w:val="both"/>
      </w:pPr>
      <w:r>
        <w:rPr>
          <w:sz w:val="24"/>
        </w:rPr>
        <w:t xml:space="preserve">б) в </w:t>
      </w:r>
      <w:hyperlink w:history="0" r:id="rId22"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абзаце третьем</w:t>
        </w:r>
      </w:hyperlink>
      <w:r>
        <w:rPr>
          <w:sz w:val="24"/>
        </w:rPr>
        <w:t xml:space="preserve"> слова "пунктами 4(3) и 4(4)" заменить словами "пунктами 4(3), 4(4), 4(7) и 4(8)";</w:t>
      </w:r>
    </w:p>
    <w:p>
      <w:pPr>
        <w:pStyle w:val="0"/>
        <w:spacing w:before="240" w:lineRule="auto"/>
        <w:ind w:firstLine="540"/>
        <w:jc w:val="both"/>
      </w:pPr>
      <w:r>
        <w:rPr>
          <w:sz w:val="24"/>
        </w:rPr>
        <w:t xml:space="preserve">в) </w:t>
      </w:r>
      <w:hyperlink w:history="0" r:id="rId23"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абзацы четвертый</w:t>
        </w:r>
      </w:hyperlink>
      <w:r>
        <w:rPr>
          <w:sz w:val="24"/>
        </w:rPr>
        <w:t xml:space="preserve"> и </w:t>
      </w:r>
      <w:hyperlink w:history="0" r:id="rId24"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пятый</w:t>
        </w:r>
      </w:hyperlink>
      <w:r>
        <w:rPr>
          <w:sz w:val="24"/>
        </w:rPr>
        <w:t xml:space="preserve"> заменить текстом следующего содержания:</w:t>
      </w:r>
    </w:p>
    <w:p>
      <w:pPr>
        <w:pStyle w:val="0"/>
        <w:spacing w:before="240" w:lineRule="auto"/>
        <w:ind w:firstLine="540"/>
        <w:jc w:val="both"/>
      </w:pPr>
      <w:r>
        <w:rPr>
          <w:sz w:val="24"/>
        </w:rPr>
        <w:t xml:space="preserve">"внебюджетные средства, израсходованные на переселение граждан из аварийного жилищного фонда и (или) планируемые к расходованию при выполнении соответствующего этапа региональной адресной программы по переселению граждан из аварийного жилищного фонда в рамках реализации решений о комплексном развитии территории жилой застройки и (или) инвестиционных проектов начиная с 1 января 2025 г. (за исключением внебюджетных средств, источником которых является финансовая поддержка за счет средств Фонда, предоставленная на цели, предусмотренные подпунктами "г" и "д" пункта 19 настоящих Правил) при совокупности следующих условий:</w:t>
      </w:r>
    </w:p>
    <w:p>
      <w:pPr>
        <w:pStyle w:val="0"/>
        <w:spacing w:before="240" w:lineRule="auto"/>
        <w:ind w:firstLine="540"/>
        <w:jc w:val="both"/>
      </w:pPr>
      <w:r>
        <w:rPr>
          <w:sz w:val="24"/>
        </w:rPr>
        <w:t xml:space="preserve">общая площадь аварийного жилищного фонда субъекта Российской Федерации, учитываемая для расчета лимита предоставления финансовой поддержки по формуле, предусмотренной пунктом 4(3) настоящих Правил, превышает 1 млн. кв. метров;</w:t>
      </w:r>
    </w:p>
    <w:p>
      <w:pPr>
        <w:pStyle w:val="0"/>
        <w:spacing w:before="240" w:lineRule="auto"/>
        <w:ind w:firstLine="540"/>
        <w:jc w:val="both"/>
      </w:pPr>
      <w:r>
        <w:rPr>
          <w:sz w:val="24"/>
        </w:rPr>
        <w:t xml:space="preserve">объем финансирования за счет средств бюджета субъекта Российской Федерации и средств местных бюджетов мероприятий по переселению граждан из аварийного жилищного фонда (за вычетом указанных в настоящем пункте внебюджетных средств) составляет не менее 10 процентов общего объема финансирования мероприятий по переселению граждан из аварийного жилищного фонда, предусмотренного минимальным размером этапа.</w:t>
      </w:r>
    </w:p>
    <w:p>
      <w:pPr>
        <w:pStyle w:val="0"/>
        <w:spacing w:before="240" w:lineRule="auto"/>
        <w:ind w:firstLine="540"/>
        <w:jc w:val="both"/>
      </w:pPr>
      <w:r>
        <w:rPr>
          <w:sz w:val="24"/>
        </w:rPr>
        <w:t xml:space="preserve">Под инвестиционными проектами для целей применения настоящего пункта понимаются такие инвестиционные проекты, в результате реализации которых осуществляется переселение граждан из аварийного жилищного фонда и (или) передача жилых помещений в собственность муниципального образования в целях дальнейшего их использования для переселения граждан из аварийного жилищного фонда.</w:t>
      </w:r>
    </w:p>
    <w:p>
      <w:pPr>
        <w:pStyle w:val="0"/>
        <w:spacing w:before="240" w:lineRule="auto"/>
        <w:ind w:firstLine="540"/>
        <w:jc w:val="both"/>
      </w:pPr>
      <w:r>
        <w:rPr>
          <w:sz w:val="24"/>
        </w:rPr>
        <w:t xml:space="preserve">Расчет объема внебюджетных средств в рассматриваемом случае определяется как произведение общей площади жилых помещений, расположенных в многоквартирных домах, признанных аварийными и подлежащими сносу или реконструкции, переселение граждан из которых предусмотрено соответствующим этапом региональной адресной программы по переселению граждан из аварийного жилищного фонда в рамках реализации решений о комплексном развитии территории жилой застройки и (или) инвестиционных проектов (за исключением общей площади жилых помещений, расположенных в многоквартирных домах, признанных аварийными и подлежащими сносу или реконструкции, и переселение граждан из которых осуществляется с использованием финансовой поддержки за счет средств Фонда, предоставленной на цели, предусмотренные подпунктами "г" и "д" пункта 19 настоящих Правил), на среднюю рыночную стоимость 1 кв. метра общей площади жилого помещения в соответствующем субъекте Российской Федерации, установленную приказом Министерства строительства и жилищно-коммунального хозяйства Российской Федерации для целей расчета размеров социальных выплат для всех категорий граждан, которым указанные социальные выплаты предоставляются на приобретение (строительство) жилых помещений за счет средств федерального бюджета, на квартал года, в котором подается заявка на предоставление финансовой поддержки в пределах лимита;</w:t>
      </w:r>
    </w:p>
    <w:p>
      <w:pPr>
        <w:pStyle w:val="0"/>
        <w:spacing w:before="240" w:lineRule="auto"/>
        <w:ind w:firstLine="540"/>
        <w:jc w:val="both"/>
      </w:pPr>
      <w:r>
        <w:rPr>
          <w:sz w:val="24"/>
        </w:rPr>
        <w:t xml:space="preserve">средства бюджета субъекта Российской Федерации и средства местных бюджетов, израсходованные в 2025 году на финансирование мероприятий по переселению граждан из аварийного жилищного фонда до подачи субъектом Российской Федерации заявки на предоставление финансовой поддержки в пределах лимита, за исключением средств бюджета субъекта Российской Федерации и средств местных бюджетов, израсходованных в 2025 году в рамках реализации этапов региональной адресной программы по переселению граждан из аварийного жилищного фонда, на реализацию которых Фондом предоставлена финансовая поддержка за счет средств Фонда в 2019 - 2024 годах.".</w:t>
      </w:r>
    </w:p>
    <w:p>
      <w:pPr>
        <w:pStyle w:val="0"/>
        <w:spacing w:before="240" w:lineRule="auto"/>
        <w:ind w:firstLine="540"/>
        <w:jc w:val="both"/>
      </w:pPr>
      <w:r>
        <w:rPr>
          <w:sz w:val="24"/>
        </w:rPr>
        <w:t xml:space="preserve">6. В </w:t>
      </w:r>
      <w:hyperlink w:history="0" r:id="rId25"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пункте 13</w:t>
        </w:r>
      </w:hyperlink>
      <w:r>
        <w:rPr>
          <w:sz w:val="24"/>
        </w:rPr>
        <w:t xml:space="preserve"> слова "в размере лимита предоставления финансовой поддержки" заменить словами "в размере лимита предоставления финансовой поддержки, но не позднее 1 июня года, в котором планируется предоставление такой финансовой поддержки".</w:t>
      </w:r>
    </w:p>
    <w:p>
      <w:pPr>
        <w:pStyle w:val="0"/>
        <w:spacing w:before="240" w:lineRule="auto"/>
        <w:ind w:firstLine="540"/>
        <w:jc w:val="both"/>
      </w:pPr>
      <w:r>
        <w:rPr>
          <w:sz w:val="24"/>
        </w:rPr>
        <w:t xml:space="preserve">7. В </w:t>
      </w:r>
      <w:hyperlink w:history="0" r:id="rId26"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пункте 16(1)</w:t>
        </w:r>
      </w:hyperlink>
      <w:r>
        <w:rPr>
          <w:sz w:val="24"/>
        </w:rPr>
        <w:t xml:space="preserve"> слова "в 10-дневный срок" заменить словами "в течение 10 рабочих дней".</w:t>
      </w:r>
    </w:p>
    <w:p>
      <w:pPr>
        <w:pStyle w:val="0"/>
        <w:spacing w:before="240" w:lineRule="auto"/>
        <w:ind w:firstLine="540"/>
        <w:jc w:val="both"/>
      </w:pPr>
      <w:r>
        <w:rPr>
          <w:sz w:val="24"/>
        </w:rPr>
        <w:t xml:space="preserve">8. В </w:t>
      </w:r>
      <w:hyperlink w:history="0" r:id="rId27"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пункте 17</w:t>
        </w:r>
      </w:hyperlink>
      <w:r>
        <w:rPr>
          <w:sz w:val="24"/>
        </w:rPr>
        <w:t xml:space="preserve"> слова "Указанное решение в течение 5 рабочих дней со дня его принятия правление Фонда направляет высшему должностному лицу субъекта Российской Федерации" заменить словами "Фонд в течение 5 рабочих дней со дня принятия решения о предоставлении субъекту Российской Федерации финансовой поддержки за счет средств Фонда или об отказе в предоставлении этой финансовой поддержки направляет такое решение высшему исполнительному органу субъекта Российской Федерации".</w:t>
      </w:r>
    </w:p>
    <w:p>
      <w:pPr>
        <w:pStyle w:val="0"/>
        <w:spacing w:before="240" w:lineRule="auto"/>
        <w:ind w:firstLine="540"/>
        <w:jc w:val="both"/>
      </w:pPr>
      <w:r>
        <w:rPr>
          <w:sz w:val="24"/>
        </w:rPr>
        <w:t xml:space="preserve">9. В </w:t>
      </w:r>
      <w:hyperlink w:history="0" r:id="rId28"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пункте 19</w:t>
        </w:r>
      </w:hyperlink>
      <w:r>
        <w:rPr>
          <w:sz w:val="24"/>
        </w:rPr>
        <w:t xml:space="preserve">:</w:t>
      </w:r>
    </w:p>
    <w:p>
      <w:pPr>
        <w:pStyle w:val="0"/>
        <w:spacing w:before="240" w:lineRule="auto"/>
        <w:ind w:firstLine="540"/>
        <w:jc w:val="both"/>
      </w:pPr>
      <w:r>
        <w:rPr>
          <w:sz w:val="24"/>
        </w:rPr>
        <w:t xml:space="preserve">а) предложение второе </w:t>
      </w:r>
      <w:hyperlink w:history="0" r:id="rId29"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подпункта "а"</w:t>
        </w:r>
      </w:hyperlink>
      <w:r>
        <w:rPr>
          <w:sz w:val="24"/>
        </w:rPr>
        <w:t xml:space="preserve"> изложить в следующей редакции: "При этом по итогам реализации этапа региональной адресной программы по переселению граждан из аварийного жилищного фонда субъекта Российской Федерации размер средств Фонда, направленных на выплату гражданам возмещения, не может превышать величину, рассчитанную как произведение общей площади изымаемых жилых помещений, трех четвертей нормативной стоимости 1 кв. метра общей площади жилого помещения, определяемой Министерством строительства и жилищно-коммунального хозяйства Российской Федерации по субъектам Российской Федерации (далее - нормативная стоимость квадратного метра), установленной на I квартал года подачи заявки, и процента долевого финансирования за счет средств Фонда, рассчитанного для соответствующего субъекта Российской Федерации.";</w:t>
      </w:r>
    </w:p>
    <w:p>
      <w:pPr>
        <w:pStyle w:val="0"/>
        <w:spacing w:before="240" w:lineRule="auto"/>
        <w:ind w:firstLine="540"/>
        <w:jc w:val="both"/>
      </w:pPr>
      <w:r>
        <w:rPr>
          <w:sz w:val="24"/>
        </w:rPr>
        <w:t xml:space="preserve">б) </w:t>
      </w:r>
      <w:hyperlink w:history="0" r:id="rId30"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подпункт "б"</w:t>
        </w:r>
      </w:hyperlink>
      <w:r>
        <w:rPr>
          <w:sz w:val="24"/>
        </w:rPr>
        <w:t xml:space="preserve"> после слов "Министерством строительства и жилищно-коммунального хозяйства Российской Федерации," дополнить словами "или в соответствии с типовой проектной документацией, предусмотренной </w:t>
      </w:r>
      <w:hyperlink w:history="0" r:id="rId31" w:tooltip="&quot;Градостроительный кодекс Российской Федерации&quot; от 29.12.2004 N 190-ФЗ (ред. от 30.01.2026) (с изм. и доп., вступ. в силу с 01.03.2026) {КонсультантПлюс}">
        <w:r>
          <w:rPr>
            <w:sz w:val="24"/>
            <w:color w:val="0000ff"/>
          </w:rPr>
          <w:t xml:space="preserve">статьей 48.2</w:t>
        </w:r>
      </w:hyperlink>
      <w:r>
        <w:rPr>
          <w:sz w:val="24"/>
        </w:rPr>
        <w:t xml:space="preserve"> Градостроительного кодекса Российской Федерации,";</w:t>
      </w:r>
    </w:p>
    <w:p>
      <w:pPr>
        <w:pStyle w:val="0"/>
        <w:spacing w:before="240" w:lineRule="auto"/>
        <w:ind w:firstLine="540"/>
        <w:jc w:val="both"/>
      </w:pPr>
      <w:r>
        <w:rPr>
          <w:sz w:val="24"/>
        </w:rPr>
        <w:t xml:space="preserve">в) </w:t>
      </w:r>
      <w:hyperlink w:history="0" r:id="rId32"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подпункт "ж"</w:t>
        </w:r>
      </w:hyperlink>
      <w:r>
        <w:rPr>
          <w:sz w:val="24"/>
        </w:rPr>
        <w:t xml:space="preserve"> изложить в следующей редакции:</w:t>
      </w:r>
    </w:p>
    <w:p>
      <w:pPr>
        <w:pStyle w:val="0"/>
        <w:spacing w:before="240" w:lineRule="auto"/>
        <w:ind w:firstLine="540"/>
        <w:jc w:val="both"/>
      </w:pPr>
      <w:r>
        <w:rPr>
          <w:sz w:val="24"/>
        </w:rPr>
        <w:t xml:space="preserve">"ж) возмещение расходов, понесенных субъектом Российской Федерации за счет средств бюджета субъекта Российской Федерации и средств местных бюджетов начиная с 1 января 2025 г. на направления, указанные в подпунктах "а" - "е" и "з" настоящего пункта, в целях финансирования мероприятий по переселению граждан из аварийного жилищного фонда, признанного таковым после 1 января 2017 г., в пределах лимита предоставления финансовой поддержки, за исключением средств бюджета субъекта Российской Федерации и средств местных бюджетов, израсходованных на финансирование мероприятий по переселению граждан из аварийного жилищного фонда, предусмотренного этапами региональных адресных программ по переселению граждан из аварийного жилищного фонда, на реализацию которых предоставлена финансовая поддержка за счет средств Фонда.";</w:t>
      </w:r>
    </w:p>
    <w:p>
      <w:pPr>
        <w:pStyle w:val="0"/>
        <w:spacing w:before="240" w:lineRule="auto"/>
        <w:ind w:firstLine="540"/>
        <w:jc w:val="both"/>
      </w:pPr>
      <w:r>
        <w:rPr>
          <w:sz w:val="24"/>
        </w:rPr>
        <w:t xml:space="preserve">г) </w:t>
      </w:r>
      <w:hyperlink w:history="0" r:id="rId33"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дополнить</w:t>
        </w:r>
      </w:hyperlink>
      <w:r>
        <w:rPr>
          <w:sz w:val="24"/>
        </w:rPr>
        <w:t xml:space="preserve"> подпунктом "з" следующего содержания:</w:t>
      </w:r>
    </w:p>
    <w:p>
      <w:pPr>
        <w:pStyle w:val="0"/>
        <w:spacing w:before="240" w:lineRule="auto"/>
        <w:ind w:firstLine="540"/>
        <w:jc w:val="both"/>
      </w:pPr>
      <w:r>
        <w:rPr>
          <w:sz w:val="24"/>
        </w:rPr>
        <w:t xml:space="preserve">"з) выплату гражданам, выселяемым из жилого помещения, входящего в аварийный жилищный фонд и занимаемого по договору социального найма, денежного возмещения взамен предоставления другого благоустроенного жилого помещения по договору социального найма в случаях, если такая выплата предусмотрена нормативным правовым актом субъекта Российской Федерации. При этом за счет средств Фонда может выплачиваться денежное возмещение в части, не превышающей величину, рассчитанную как произведение общей площади изымаемого жилого помещения, трех четвертей нормативной стоимости квадратного метра, установленной на I квартал года подачи заявки, и процента долевого финансирования за счет средств Фонда, рассчитанного для соответствующего субъекта Российской Федерации. Оставшаяся часть денежного возмещения выплачивается за счет средств бюджета субъекта Российской Федерации и (или) местных бюджетов, источником финансирования которых не является финансовая поддержка за счет средств Фонда.".</w:t>
      </w:r>
    </w:p>
    <w:p>
      <w:pPr>
        <w:pStyle w:val="0"/>
        <w:spacing w:before="240" w:lineRule="auto"/>
        <w:ind w:firstLine="540"/>
        <w:jc w:val="both"/>
      </w:pPr>
      <w:r>
        <w:rPr>
          <w:sz w:val="24"/>
        </w:rPr>
        <w:t xml:space="preserve">10. В </w:t>
      </w:r>
      <w:hyperlink w:history="0" r:id="rId34"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пункте 20</w:t>
        </w:r>
      </w:hyperlink>
      <w:r>
        <w:rPr>
          <w:sz w:val="24"/>
        </w:rPr>
        <w:t xml:space="preserve">:</w:t>
      </w:r>
    </w:p>
    <w:p>
      <w:pPr>
        <w:pStyle w:val="0"/>
        <w:spacing w:before="240" w:lineRule="auto"/>
        <w:ind w:firstLine="540"/>
        <w:jc w:val="both"/>
      </w:pPr>
      <w:r>
        <w:rPr>
          <w:sz w:val="24"/>
        </w:rPr>
        <w:t xml:space="preserve">а) в </w:t>
      </w:r>
      <w:hyperlink w:history="0" r:id="rId35"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абзаце первом:</w:t>
        </w:r>
      </w:hyperlink>
    </w:p>
    <w:p>
      <w:pPr>
        <w:pStyle w:val="0"/>
        <w:spacing w:before="240" w:lineRule="auto"/>
        <w:ind w:firstLine="540"/>
        <w:jc w:val="both"/>
      </w:pPr>
      <w:r>
        <w:rPr>
          <w:sz w:val="24"/>
        </w:rPr>
        <w:t xml:space="preserve">после слов "субъекту Российской Федерации" дополнить словом "сверхлимитную";</w:t>
      </w:r>
    </w:p>
    <w:p>
      <w:pPr>
        <w:pStyle w:val="0"/>
        <w:spacing w:before="240" w:lineRule="auto"/>
        <w:ind w:firstLine="540"/>
        <w:jc w:val="both"/>
      </w:pPr>
      <w:r>
        <w:rPr>
          <w:sz w:val="24"/>
        </w:rPr>
        <w:t xml:space="preserve">слова "за счет средств Фонда сверх установленного для данного субъекта Российской Федерации лимита предоставления финансовой поддержки на текущий год, но" заменить словами "в размере";</w:t>
      </w:r>
    </w:p>
    <w:p>
      <w:pPr>
        <w:pStyle w:val="0"/>
        <w:spacing w:before="240" w:lineRule="auto"/>
        <w:ind w:firstLine="540"/>
        <w:jc w:val="both"/>
      </w:pPr>
      <w:r>
        <w:rPr>
          <w:sz w:val="24"/>
        </w:rPr>
        <w:t xml:space="preserve">после слов "предусмотренной пунктом 4(4)" дополнить словами "с учетом пунктов 4(6) - 4(8)";</w:t>
      </w:r>
    </w:p>
    <w:p>
      <w:pPr>
        <w:pStyle w:val="0"/>
        <w:spacing w:before="240" w:lineRule="auto"/>
        <w:ind w:firstLine="540"/>
        <w:jc w:val="both"/>
      </w:pPr>
      <w:r>
        <w:rPr>
          <w:sz w:val="24"/>
        </w:rPr>
        <w:t xml:space="preserve">б) в </w:t>
      </w:r>
      <w:hyperlink w:history="0" r:id="rId36"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абзаце втором:</w:t>
        </w:r>
      </w:hyperlink>
    </w:p>
    <w:p>
      <w:pPr>
        <w:pStyle w:val="0"/>
        <w:spacing w:before="240" w:lineRule="auto"/>
        <w:ind w:firstLine="540"/>
        <w:jc w:val="both"/>
      </w:pPr>
      <w:r>
        <w:rPr>
          <w:sz w:val="24"/>
        </w:rPr>
        <w:t xml:space="preserve">после слов "использована на предоставление" дополнить словом "сверхлимитной";</w:t>
      </w:r>
    </w:p>
    <w:p>
      <w:pPr>
        <w:pStyle w:val="0"/>
        <w:spacing w:before="240" w:lineRule="auto"/>
        <w:ind w:firstLine="540"/>
        <w:jc w:val="both"/>
      </w:pPr>
      <w:r>
        <w:rPr>
          <w:sz w:val="24"/>
        </w:rPr>
        <w:t xml:space="preserve">слова "за счет средств Фонда сверх установленного для данного субъекта Российской Федерации лимита предоставления финансовой поддержки" исключить.</w:t>
      </w:r>
    </w:p>
    <w:p>
      <w:pPr>
        <w:pStyle w:val="0"/>
        <w:spacing w:before="240" w:lineRule="auto"/>
        <w:ind w:firstLine="540"/>
        <w:jc w:val="both"/>
      </w:pPr>
      <w:r>
        <w:rPr>
          <w:sz w:val="24"/>
        </w:rPr>
        <w:t xml:space="preserve">11. В </w:t>
      </w:r>
      <w:hyperlink w:history="0" r:id="rId37"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абзаце первом пункта 23</w:t>
        </w:r>
      </w:hyperlink>
      <w:r>
        <w:rPr>
          <w:sz w:val="24"/>
        </w:rPr>
        <w:t xml:space="preserve"> слова ", а также размещают на официальном сайте субъекта Российской Федерации в информационно-телекоммуникационной сети "Интернет" исключить.</w:t>
      </w:r>
    </w:p>
    <w:p>
      <w:pPr>
        <w:pStyle w:val="0"/>
        <w:spacing w:before="240" w:lineRule="auto"/>
        <w:ind w:firstLine="540"/>
        <w:jc w:val="both"/>
      </w:pPr>
      <w:r>
        <w:rPr>
          <w:sz w:val="24"/>
        </w:rPr>
        <w:t xml:space="preserve">12. </w:t>
      </w:r>
      <w:hyperlink w:history="0" r:id="rId38"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Пункт 26</w:t>
        </w:r>
      </w:hyperlink>
      <w:r>
        <w:rPr>
          <w:sz w:val="24"/>
        </w:rPr>
        <w:t xml:space="preserve"> дополнить подпунктом "г" следующего содержания:</w:t>
      </w:r>
    </w:p>
    <w:p>
      <w:pPr>
        <w:pStyle w:val="0"/>
        <w:spacing w:before="240" w:lineRule="auto"/>
        <w:ind w:firstLine="540"/>
        <w:jc w:val="both"/>
      </w:pPr>
      <w:r>
        <w:rPr>
          <w:sz w:val="24"/>
        </w:rPr>
        <w:t xml:space="preserve">"г) принятие решения правления Фонда о возврате финансовой поддержки по основаниям, предусмотренным подпунктами "б" и "в" пункта 29 настоящих Правил, в части, равной размеру средств финансовой поддержки за счет средств Фонда, подлежащих возврату по соответствующему основанию.".</w:t>
      </w:r>
    </w:p>
    <w:p>
      <w:pPr>
        <w:pStyle w:val="0"/>
        <w:spacing w:before="240" w:lineRule="auto"/>
        <w:ind w:firstLine="540"/>
        <w:jc w:val="both"/>
      </w:pPr>
      <w:r>
        <w:rPr>
          <w:sz w:val="24"/>
        </w:rPr>
        <w:t xml:space="preserve">13. </w:t>
      </w:r>
      <w:hyperlink w:history="0" r:id="rId39" w:tooltip="Постановление Правительства РФ от 20.08.2022 N 1469 (ред. от 02.07.2025) &quot;Об утверждении Правил предоставления финансовой поддержки на переселение граждан из аварийного жилищного фонда&quot; {КонсультантПлюс}">
        <w:r>
          <w:rPr>
            <w:sz w:val="24"/>
            <w:color w:val="0000ff"/>
          </w:rPr>
          <w:t xml:space="preserve">Подпункт "б" пункта 30</w:t>
        </w:r>
      </w:hyperlink>
      <w:r>
        <w:rPr>
          <w:sz w:val="24"/>
        </w:rPr>
        <w:t xml:space="preserve"> изложить в следующей редакции:</w:t>
      </w:r>
    </w:p>
    <w:p>
      <w:pPr>
        <w:pStyle w:val="0"/>
        <w:spacing w:before="240" w:lineRule="auto"/>
        <w:ind w:firstLine="540"/>
        <w:jc w:val="both"/>
      </w:pPr>
      <w:r>
        <w:rPr>
          <w:sz w:val="24"/>
        </w:rPr>
        <w:t xml:space="preserve">"б) по основанию, предусмотренному подпунктом "б" пункта 29 настоящих Правил, - в размере средств финансовой поддержки за счет средств Фонда, полученных субъектом Российской Федерации на проведение мероприятий, которые предусмотрены региональной адресной программой по переселению граждан из аварийного жилищного фонда и не выполнены, за вычетом части средств Фонда, за счет которых были заключены государственные и (или) муниципальные контракты на строительство многоквартирных домов или домов, указанных в </w:t>
      </w:r>
      <w:hyperlink w:history="0" r:id="rId40" w:tooltip="&quot;Градостроительный кодекс Российской Федерации&quot; от 29.12.2004 N 190-ФЗ (ред. от 30.01.2026) (с изм. и доп., вступ. в силу с 01.03.2026) {КонсультантПлюс}">
        <w:r>
          <w:rPr>
            <w:sz w:val="24"/>
            <w:color w:val="0000ff"/>
          </w:rPr>
          <w:t xml:space="preserve">пункте 2 части 2 статьи 49</w:t>
        </w:r>
      </w:hyperlink>
      <w:r>
        <w:rPr>
          <w:sz w:val="24"/>
        </w:rPr>
        <w:t xml:space="preserve"> Градостроительного кодекса Российской Федерации, договоры на приобретение жилых помещений в таких домах, соглашения о выплате лицам, в чьей собственности находятся жилые помещения, входящие в аварийный жилищный фонд, возмещения за изымаемые жилые помещения в соответствии со </w:t>
      </w:r>
      <w:hyperlink w:history="0" r:id="rId41" w:tooltip="&quot;Жилищный кодекс Российской Федерации&quot; от 29.12.2004 N 188-ФЗ (ред. от 20.02.2026) {КонсультантПлюс}">
        <w:r>
          <w:rPr>
            <w:sz w:val="24"/>
            <w:color w:val="0000ff"/>
          </w:rPr>
          <w:t xml:space="preserve">статьей 32</w:t>
        </w:r>
      </w:hyperlink>
      <w:r>
        <w:rPr>
          <w:sz w:val="24"/>
        </w:rPr>
        <w:t xml:space="preserve"> Жилищного кодекса Российской Федерации, а также выплачены гражданам, выселяемым из жилых помещений, входящих в аварийный жилищный фонд и занимаемых по договорам социального найма, возмещения взамен предоставления других благоустроенных жилых помещений по договорам социального найма в случаях, если такая выплата такого денежного возмещения предусмотрена нормативным правовым актом субъекта 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12.03.2026 N 260</w:t>
            <w:br/>
            <w:t>"О внесении изменений в постановление Правительства Российской Федера...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9199&amp;date=17.03.2026&amp;dst=100009&amp;field=134&amp;demo=2" TargetMode = "External"/><Relationship Id="rId9" Type="http://schemas.openxmlformats.org/officeDocument/2006/relationships/hyperlink" Target="https://login.consultant.ru/link/?req=doc&amp;base=LAW&amp;n=509199&amp;date=17.03.2026&amp;dst=100012&amp;field=134&amp;demo=2" TargetMode = "External"/><Relationship Id="rId10" Type="http://schemas.openxmlformats.org/officeDocument/2006/relationships/hyperlink" Target="https://login.consultant.ru/link/?req=doc&amp;base=LAW&amp;n=509199&amp;date=17.03.2026&amp;dst=79&amp;field=134&amp;demo=2" TargetMode = "External"/><Relationship Id="rId11" Type="http://schemas.openxmlformats.org/officeDocument/2006/relationships/hyperlink" Target="https://login.consultant.ru/link/?req=doc&amp;base=LAW&amp;n=509199&amp;date=17.03.2026&amp;dst=100012&amp;field=134&amp;demo=2" TargetMode = "External"/><Relationship Id="rId12" Type="http://schemas.openxmlformats.org/officeDocument/2006/relationships/hyperlink" Target="https://login.consultant.ru/link/?req=doc&amp;base=LAW&amp;n=509199&amp;date=17.03.2026&amp;dst=100009&amp;field=134&amp;demo=2" TargetMode = "External"/><Relationship Id="rId13" Type="http://schemas.openxmlformats.org/officeDocument/2006/relationships/hyperlink" Target="https://login.consultant.ru/link/?req=doc&amp;base=LAW&amp;n=509199&amp;date=17.03.2026&amp;dst=112&amp;field=134&amp;demo=2" TargetMode = "External"/><Relationship Id="rId14" Type="http://schemas.openxmlformats.org/officeDocument/2006/relationships/hyperlink" Target="https://login.consultant.ru/link/?req=doc&amp;base=LAW&amp;n=509199&amp;date=17.03.2026&amp;dst=100169&amp;field=134&amp;demo=2" TargetMode = "External"/><Relationship Id="rId15" Type="http://schemas.openxmlformats.org/officeDocument/2006/relationships/hyperlink" Target="https://login.consultant.ru/link/?req=doc&amp;base=LAW&amp;n=507516&amp;date=17.03.2026&amp;dst=101165&amp;field=134&amp;demo=2" TargetMode = "External"/><Relationship Id="rId16" Type="http://schemas.openxmlformats.org/officeDocument/2006/relationships/hyperlink" Target="https://login.consultant.ru/link/?req=doc&amp;base=LAW&amp;n=511728&amp;date=17.03.2026&amp;dst=1246&amp;field=134&amp;demo=2" TargetMode = "External"/><Relationship Id="rId17" Type="http://schemas.openxmlformats.org/officeDocument/2006/relationships/hyperlink" Target="https://login.consultant.ru/link/?req=doc&amp;base=LAW&amp;n=511728&amp;date=17.03.2026&amp;dst=463&amp;field=134&amp;demo=2" TargetMode = "External"/><Relationship Id="rId18" Type="http://schemas.openxmlformats.org/officeDocument/2006/relationships/hyperlink" Target="https://login.consultant.ru/link/?req=doc&amp;base=LAW&amp;n=511728&amp;date=17.03.2026&amp;dst=101159&amp;field=134&amp;demo=2" TargetMode = "External"/><Relationship Id="rId19" Type="http://schemas.openxmlformats.org/officeDocument/2006/relationships/hyperlink" Target="https://login.consultant.ru/link/?req=doc&amp;base=LAW&amp;n=511728&amp;date=17.03.2026&amp;dst=2550&amp;field=134&amp;demo=2" TargetMode = "External"/><Relationship Id="rId20" Type="http://schemas.openxmlformats.org/officeDocument/2006/relationships/hyperlink" Target="https://login.consultant.ru/link/?req=doc&amp;base=LAW&amp;n=509199&amp;date=17.03.2026&amp;dst=116&amp;field=134&amp;demo=2" TargetMode = "External"/><Relationship Id="rId21" Type="http://schemas.openxmlformats.org/officeDocument/2006/relationships/hyperlink" Target="https://login.consultant.ru/link/?req=doc&amp;base=LAW&amp;n=509199&amp;date=17.03.2026&amp;dst=116&amp;field=134&amp;demo=2" TargetMode = "External"/><Relationship Id="rId22" Type="http://schemas.openxmlformats.org/officeDocument/2006/relationships/hyperlink" Target="https://login.consultant.ru/link/?req=doc&amp;base=LAW&amp;n=509199&amp;date=17.03.2026&amp;dst=118&amp;field=134&amp;demo=2" TargetMode = "External"/><Relationship Id="rId23" Type="http://schemas.openxmlformats.org/officeDocument/2006/relationships/hyperlink" Target="https://login.consultant.ru/link/?req=doc&amp;base=LAW&amp;n=509199&amp;date=17.03.2026&amp;dst=119&amp;field=134&amp;demo=2" TargetMode = "External"/><Relationship Id="rId24" Type="http://schemas.openxmlformats.org/officeDocument/2006/relationships/hyperlink" Target="https://login.consultant.ru/link/?req=doc&amp;base=LAW&amp;n=509199&amp;date=17.03.2026&amp;dst=120&amp;field=134&amp;demo=2" TargetMode = "External"/><Relationship Id="rId25" Type="http://schemas.openxmlformats.org/officeDocument/2006/relationships/hyperlink" Target="https://login.consultant.ru/link/?req=doc&amp;base=LAW&amp;n=509199&amp;date=17.03.2026&amp;dst=40&amp;field=134&amp;demo=2" TargetMode = "External"/><Relationship Id="rId26" Type="http://schemas.openxmlformats.org/officeDocument/2006/relationships/hyperlink" Target="https://login.consultant.ru/link/?req=doc&amp;base=LAW&amp;n=509199&amp;date=17.03.2026&amp;dst=44&amp;field=134&amp;demo=2" TargetMode = "External"/><Relationship Id="rId27" Type="http://schemas.openxmlformats.org/officeDocument/2006/relationships/hyperlink" Target="https://login.consultant.ru/link/?req=doc&amp;base=LAW&amp;n=509199&amp;date=17.03.2026&amp;dst=45&amp;field=134&amp;demo=2" TargetMode = "External"/><Relationship Id="rId28" Type="http://schemas.openxmlformats.org/officeDocument/2006/relationships/hyperlink" Target="https://login.consultant.ru/link/?req=doc&amp;base=LAW&amp;n=509199&amp;date=17.03.2026&amp;dst=61&amp;field=134&amp;demo=2" TargetMode = "External"/><Relationship Id="rId29" Type="http://schemas.openxmlformats.org/officeDocument/2006/relationships/hyperlink" Target="https://login.consultant.ru/link/?req=doc&amp;base=LAW&amp;n=509199&amp;date=17.03.2026&amp;dst=100183&amp;field=134&amp;demo=2" TargetMode = "External"/><Relationship Id="rId30" Type="http://schemas.openxmlformats.org/officeDocument/2006/relationships/hyperlink" Target="https://login.consultant.ru/link/?req=doc&amp;base=LAW&amp;n=509199&amp;date=17.03.2026&amp;dst=100184&amp;field=134&amp;demo=2" TargetMode = "External"/><Relationship Id="rId31" Type="http://schemas.openxmlformats.org/officeDocument/2006/relationships/hyperlink" Target="https://login.consultant.ru/link/?req=doc&amp;base=LAW&amp;n=511565&amp;date=17.03.2026&amp;dst=3783&amp;field=134&amp;demo=2" TargetMode = "External"/><Relationship Id="rId32" Type="http://schemas.openxmlformats.org/officeDocument/2006/relationships/hyperlink" Target="https://login.consultant.ru/link/?req=doc&amp;base=LAW&amp;n=509199&amp;date=17.03.2026&amp;dst=100092&amp;field=134&amp;demo=2" TargetMode = "External"/><Relationship Id="rId33" Type="http://schemas.openxmlformats.org/officeDocument/2006/relationships/hyperlink" Target="https://login.consultant.ru/link/?req=doc&amp;base=LAW&amp;n=509199&amp;date=17.03.2026&amp;dst=61&amp;field=134&amp;demo=2" TargetMode = "External"/><Relationship Id="rId34" Type="http://schemas.openxmlformats.org/officeDocument/2006/relationships/hyperlink" Target="https://login.consultant.ru/link/?req=doc&amp;base=LAW&amp;n=509199&amp;date=17.03.2026&amp;dst=123&amp;field=134&amp;demo=2" TargetMode = "External"/><Relationship Id="rId35" Type="http://schemas.openxmlformats.org/officeDocument/2006/relationships/hyperlink" Target="https://login.consultant.ru/link/?req=doc&amp;base=LAW&amp;n=509199&amp;date=17.03.2026&amp;dst=123&amp;field=134&amp;demo=2" TargetMode = "External"/><Relationship Id="rId36" Type="http://schemas.openxmlformats.org/officeDocument/2006/relationships/hyperlink" Target="https://login.consultant.ru/link/?req=doc&amp;base=LAW&amp;n=509199&amp;date=17.03.2026&amp;dst=100187&amp;field=134&amp;demo=2" TargetMode = "External"/><Relationship Id="rId37" Type="http://schemas.openxmlformats.org/officeDocument/2006/relationships/hyperlink" Target="https://login.consultant.ru/link/?req=doc&amp;base=LAW&amp;n=509199&amp;date=17.03.2026&amp;dst=100192&amp;field=134&amp;demo=2" TargetMode = "External"/><Relationship Id="rId38" Type="http://schemas.openxmlformats.org/officeDocument/2006/relationships/hyperlink" Target="https://login.consultant.ru/link/?req=doc&amp;base=LAW&amp;n=509199&amp;date=17.03.2026&amp;dst=100200&amp;field=134&amp;demo=2" TargetMode = "External"/><Relationship Id="rId39" Type="http://schemas.openxmlformats.org/officeDocument/2006/relationships/hyperlink" Target="https://login.consultant.ru/link/?req=doc&amp;base=LAW&amp;n=509199&amp;date=17.03.2026&amp;dst=100212&amp;field=134&amp;demo=2" TargetMode = "External"/><Relationship Id="rId40" Type="http://schemas.openxmlformats.org/officeDocument/2006/relationships/hyperlink" Target="https://login.consultant.ru/link/?req=doc&amp;base=LAW&amp;n=511565&amp;date=17.03.2026&amp;dst=3877&amp;field=134&amp;demo=2" TargetMode = "External"/><Relationship Id="rId41" Type="http://schemas.openxmlformats.org/officeDocument/2006/relationships/hyperlink" Target="https://login.consultant.ru/link/?req=doc&amp;base=LAW&amp;n=511791&amp;date=17.03.2026&amp;dst=10024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12.03.2026 N 260
"О внесении изменений в постановление Правительства Российской Федерации от 20 августа 2022 г. N 1469"</dc:title>
  <dcterms:created xsi:type="dcterms:W3CDTF">2026-03-17T09:53:14Z</dcterms:created>
</cp:coreProperties>
</file>