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18 марта 2026 г. N 14963-ДН/04</w:t>
      </w:r>
    </w:p>
    <w:p>
      <w:pPr>
        <w:pStyle w:val="0"/>
        <w:jc w:val="center"/>
      </w:pPr>
      <w:r>
        <w:rPr>
          <w:sz w:val="24"/>
        </w:rPr>
      </w:r>
    </w:p>
    <w:p>
      <w:pPr>
        <w:pStyle w:val="0"/>
        <w:ind w:firstLine="540"/>
        <w:jc w:val="both"/>
      </w:pPr>
      <w:r>
        <w:rPr>
          <w:sz w:val="24"/>
        </w:rPr>
        <w:t xml:space="preserve">Департамент развития жилищно-коммунального хозяйства Министерства строительства и жилищно-коммунального хозяйства Российской Федерации рассмотрел обращение и в рамках своей компетенции сообщает следующее.</w:t>
      </w:r>
    </w:p>
    <w:p>
      <w:pPr>
        <w:pStyle w:val="0"/>
        <w:spacing w:before="240" w:lineRule="auto"/>
        <w:ind w:firstLine="540"/>
        <w:jc w:val="both"/>
      </w:pPr>
      <w:r>
        <w:rPr>
          <w:sz w:val="24"/>
        </w:rPr>
        <w:t xml:space="preserve">Ставка налога на добавленную стоимость (далее - НДС), применяемая при налогообложении реализации товаров (работ, услуг) на территории Российской Федерации, зависит от нескольких факторов, в том числе от:</w:t>
      </w:r>
    </w:p>
    <w:p>
      <w:pPr>
        <w:pStyle w:val="0"/>
        <w:spacing w:before="240" w:lineRule="auto"/>
        <w:ind w:firstLine="540"/>
        <w:jc w:val="both"/>
      </w:pPr>
      <w:r>
        <w:rPr>
          <w:sz w:val="24"/>
        </w:rPr>
        <w:t xml:space="preserve">- видов реализуемых товаров (работ, услуг);</w:t>
      </w:r>
    </w:p>
    <w:p>
      <w:pPr>
        <w:pStyle w:val="0"/>
        <w:spacing w:before="240" w:lineRule="auto"/>
        <w:ind w:firstLine="540"/>
        <w:jc w:val="both"/>
      </w:pPr>
      <w:r>
        <w:rPr>
          <w:sz w:val="24"/>
        </w:rPr>
        <w:t xml:space="preserve">- применяемой налогоплательщиком системы налогообложения;</w:t>
      </w:r>
    </w:p>
    <w:p>
      <w:pPr>
        <w:pStyle w:val="0"/>
        <w:spacing w:before="240" w:lineRule="auto"/>
        <w:ind w:firstLine="540"/>
        <w:jc w:val="both"/>
      </w:pPr>
      <w:r>
        <w:rPr>
          <w:sz w:val="24"/>
        </w:rPr>
        <w:t xml:space="preserve">- суммы доходов за календарный год организации или индивидуального предпринимателя, применяющих упрощенную систему налогообложения (далее - УСНО).</w:t>
      </w:r>
    </w:p>
    <w:p>
      <w:pPr>
        <w:pStyle w:val="0"/>
        <w:spacing w:before="240" w:lineRule="auto"/>
        <w:ind w:firstLine="540"/>
        <w:jc w:val="both"/>
      </w:pPr>
      <w:r>
        <w:rPr>
          <w:sz w:val="24"/>
        </w:rPr>
        <w:t xml:space="preserve">Включение НДС в состав стоимости товаров (работ, услуг) соответствующим образом увеличивает указанную стоимость товаров (работ, услуг).</w:t>
      </w:r>
    </w:p>
    <w:p>
      <w:pPr>
        <w:pStyle w:val="0"/>
        <w:spacing w:before="240" w:lineRule="auto"/>
        <w:ind w:firstLine="540"/>
        <w:jc w:val="both"/>
      </w:pPr>
      <w:r>
        <w:rPr>
          <w:sz w:val="24"/>
        </w:rPr>
        <w:t xml:space="preserve">При этом необходимо отметить, что ставка НДС зависит в том числе от действий налогоплательщика. Например, переход с УСНО на общую систему налогообложения увеличивает ставку НДС, что соответствующим образом меняет стоимость товаров (работ, услуг), реализуемых таким налогоплательщиком.</w:t>
      </w:r>
    </w:p>
    <w:p>
      <w:pPr>
        <w:pStyle w:val="0"/>
        <w:spacing w:before="240" w:lineRule="auto"/>
        <w:ind w:firstLine="540"/>
        <w:jc w:val="both"/>
      </w:pPr>
      <w:r>
        <w:rPr>
          <w:sz w:val="24"/>
        </w:rPr>
        <w:t xml:space="preserve">Таким образом, наличие или отсутствие обложения НДС реализации товаров (работ, услуг), осуществляемой организацией или индивидуальным предпринимателем, влияя на стоимость таких товаров (работ, услуг), обеспечивает наличие или отсутствие соответствующих конкурентных преимуществ указанных организации или индивидуального предпринимателя.</w:t>
      </w:r>
    </w:p>
    <w:p>
      <w:pPr>
        <w:pStyle w:val="0"/>
        <w:spacing w:before="240" w:lineRule="auto"/>
        <w:ind w:firstLine="540"/>
        <w:jc w:val="both"/>
      </w:pPr>
      <w:r>
        <w:rPr>
          <w:sz w:val="24"/>
        </w:rPr>
        <w:t xml:space="preserve">В силу </w:t>
      </w:r>
      <w:hyperlink w:history="0" r:id="rId7" w:tooltip="&quot;Жилищный кодекс Российской Федерации&quot; от 29.12.2004 N 188-ФЗ (ред. от 20.02.2026) {КонсультантПлюс}">
        <w:r>
          <w:rPr>
            <w:sz w:val="24"/>
            <w:color w:val="0000ff"/>
          </w:rPr>
          <w:t xml:space="preserve">пункта 3 части 3 статьи 162</w:t>
        </w:r>
      </w:hyperlink>
      <w:r>
        <w:rPr>
          <w:sz w:val="24"/>
        </w:rPr>
        <w:t xml:space="preserve"> Жилищного кодекса Российской Федерации (далее - ЖК РФ) в договоре управления многоквартирным домом (далее - МКД) должен быть указан в том числе порядок определения цены договора, размера платы за содержание и ремонт жилого помещения.</w:t>
      </w:r>
    </w:p>
    <w:p>
      <w:pPr>
        <w:pStyle w:val="0"/>
        <w:spacing w:before="240" w:lineRule="auto"/>
        <w:ind w:firstLine="540"/>
        <w:jc w:val="both"/>
      </w:pPr>
      <w:r>
        <w:rPr>
          <w:sz w:val="24"/>
        </w:rPr>
        <w:t xml:space="preserve">Согласно </w:t>
      </w:r>
      <w:hyperlink w:history="0" r:id="rId8" w:tooltip="&quot;Жилищный кодекс Российской Федерации&quot; от 29.12.2004 N 188-ФЗ (ред. от 20.02.2026) {КонсультантПлюс}">
        <w:r>
          <w:rPr>
            <w:sz w:val="24"/>
            <w:color w:val="0000ff"/>
          </w:rPr>
          <w:t xml:space="preserve">части 1 статьи 162</w:t>
        </w:r>
      </w:hyperlink>
      <w:r>
        <w:rPr>
          <w:sz w:val="24"/>
        </w:rPr>
        <w:t xml:space="preserve"> ЖК РФ при выборе управляющей организации общим собранием собственников помещений в МКД (далее - ОСС) с каждым собственником помещения в таком доме заключается договор управления на условиях, указанных в решении данного ОСС.</w:t>
      </w:r>
    </w:p>
    <w:p>
      <w:pPr>
        <w:pStyle w:val="0"/>
        <w:spacing w:before="240" w:lineRule="auto"/>
        <w:ind w:firstLine="540"/>
        <w:jc w:val="both"/>
      </w:pPr>
      <w:r>
        <w:rPr>
          <w:sz w:val="24"/>
        </w:rPr>
        <w:t xml:space="preserve">В соответствии с </w:t>
      </w:r>
      <w:hyperlink w:history="0" r:id="rId9" w:tooltip="&quot;Жилищный кодекс Российской Федерации&quot; от 29.12.2004 N 188-ФЗ (ред. от 20.02.2026) {КонсультантПлюс}">
        <w:r>
          <w:rPr>
            <w:sz w:val="24"/>
            <w:color w:val="0000ff"/>
          </w:rPr>
          <w:t xml:space="preserve">частью 7 статьи 156</w:t>
        </w:r>
      </w:hyperlink>
      <w:r>
        <w:rPr>
          <w:sz w:val="24"/>
        </w:rPr>
        <w:t xml:space="preserve"> ЖК РФ размер платы за содержание жилого помещения в МКД,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ОСС.</w:t>
      </w:r>
    </w:p>
    <w:p>
      <w:pPr>
        <w:pStyle w:val="0"/>
        <w:spacing w:before="240" w:lineRule="auto"/>
        <w:ind w:firstLine="540"/>
        <w:jc w:val="both"/>
      </w:pPr>
      <w:r>
        <w:rPr>
          <w:sz w:val="24"/>
        </w:rPr>
        <w:t xml:space="preserve">Таким образом, порядок определения размера платы за содержание жилого помещения определяется на ОСС и предусматривается в договоре управления МКД в качестве существенного условия договора управления МКД.</w:t>
      </w:r>
    </w:p>
    <w:p>
      <w:pPr>
        <w:pStyle w:val="0"/>
        <w:spacing w:before="240" w:lineRule="auto"/>
        <w:ind w:firstLine="540"/>
        <w:jc w:val="both"/>
      </w:pPr>
      <w:r>
        <w:rPr>
          <w:sz w:val="24"/>
        </w:rPr>
        <w:t xml:space="preserve">Согласно </w:t>
      </w:r>
      <w:hyperlink w:history="0" r:id="rId1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пункту 1 статьи 432</w:t>
        </w:r>
      </w:hyperlink>
      <w:r>
        <w:rPr>
          <w:sz w:val="24"/>
        </w:rPr>
        <w:t xml:space="preserve"> Гражданского кодекса Российской Федерации (далее - ГК РФ)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w:t>
      </w:r>
    </w:p>
    <w:p>
      <w:pPr>
        <w:pStyle w:val="0"/>
        <w:spacing w:before="240" w:lineRule="auto"/>
        <w:ind w:firstLine="540"/>
        <w:jc w:val="both"/>
      </w:pPr>
      <w:r>
        <w:rPr>
          <w:sz w:val="24"/>
        </w:rPr>
        <w:t xml:space="preserve">В силу </w:t>
      </w:r>
      <w:hyperlink w:history="0" r:id="rId11" w:tooltip="&quot;Жилищный кодекс Российской Федерации&quot; от 29.12.2004 N 188-ФЗ (ред. от 20.02.2026) {КонсультантПлюс}">
        <w:r>
          <w:rPr>
            <w:sz w:val="24"/>
            <w:color w:val="0000ff"/>
          </w:rPr>
          <w:t xml:space="preserve">части 8 статьи 162</w:t>
        </w:r>
      </w:hyperlink>
      <w:r>
        <w:rPr>
          <w:sz w:val="24"/>
        </w:rPr>
        <w:t xml:space="preserve"> ЖК РФ изменение и (или) расторжение договора управления МКД осуществляются в порядке, предусмотренном гражданским законодательством.</w:t>
      </w:r>
    </w:p>
    <w:p>
      <w:pPr>
        <w:pStyle w:val="0"/>
        <w:spacing w:before="240" w:lineRule="auto"/>
        <w:ind w:firstLine="540"/>
        <w:jc w:val="both"/>
      </w:pPr>
      <w:r>
        <w:rPr>
          <w:sz w:val="24"/>
        </w:rPr>
        <w:t xml:space="preserve">Согласно </w:t>
      </w:r>
      <w:hyperlink w:history="0" r:id="rId12"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пункту 1 статьи 450</w:t>
        </w:r>
      </w:hyperlink>
      <w:r>
        <w:rPr>
          <w:sz w:val="24"/>
        </w:rPr>
        <w:t xml:space="preserve"> ГК РФ изменение и расторжение договора возможны по соглашению сторон, если иное не предусмотрено </w:t>
      </w:r>
      <w:hyperlink w:history="0" r:id="rId1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ГК</w:t>
        </w:r>
      </w:hyperlink>
      <w:r>
        <w:rPr>
          <w:sz w:val="24"/>
        </w:rPr>
        <w:t xml:space="preserve"> РФ, другими законами или договором.</w:t>
      </w:r>
    </w:p>
    <w:p>
      <w:pPr>
        <w:pStyle w:val="0"/>
        <w:spacing w:before="240" w:lineRule="auto"/>
        <w:ind w:firstLine="540"/>
        <w:jc w:val="both"/>
      </w:pPr>
      <w:r>
        <w:rPr>
          <w:sz w:val="24"/>
        </w:rPr>
        <w:t xml:space="preserve">В соответствии с </w:t>
      </w:r>
      <w:hyperlink w:history="0" r:id="rId14"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пунктом 2 статьи 450</w:t>
        </w:r>
      </w:hyperlink>
      <w:r>
        <w:rPr>
          <w:sz w:val="24"/>
        </w:rPr>
        <w:t xml:space="preserve"> ГК РФ в определенных случаях договор может быть изменен или расторгнут по решению суда по требованию одной из сторон.</w:t>
      </w:r>
    </w:p>
    <w:p>
      <w:pPr>
        <w:pStyle w:val="0"/>
        <w:spacing w:before="240" w:lineRule="auto"/>
        <w:ind w:firstLine="540"/>
        <w:jc w:val="both"/>
      </w:pPr>
      <w:r>
        <w:rPr>
          <w:sz w:val="24"/>
        </w:rPr>
        <w:t xml:space="preserve">Следовательно, изменение договора управления МКД осуществляется либо на основании решения суда, либо на основании решения ОСС и решения исполнительного органа управляющей организации.</w:t>
      </w:r>
    </w:p>
    <w:p>
      <w:pPr>
        <w:pStyle w:val="0"/>
        <w:spacing w:before="240" w:lineRule="auto"/>
        <w:ind w:firstLine="540"/>
        <w:jc w:val="both"/>
      </w:pPr>
      <w:r>
        <w:rPr>
          <w:sz w:val="24"/>
        </w:rPr>
        <w:t xml:space="preserve">Таким образом, изменение размера платы за содержание жилого помещения в одностороннем порядке, в том числе увеличение такого размера платы в связи с возникновением обязанности управляющей организации оплачивать НДС, законом не предусмотрено.</w:t>
      </w:r>
    </w:p>
    <w:p>
      <w:pPr>
        <w:pStyle w:val="0"/>
        <w:spacing w:before="240" w:lineRule="auto"/>
        <w:ind w:firstLine="540"/>
        <w:jc w:val="both"/>
      </w:pPr>
      <w:r>
        <w:rPr>
          <w:sz w:val="24"/>
        </w:rPr>
        <w:t xml:space="preserve">Вместе с тем порядок изменения размера платы за содержание жилого помещения на величину НДС, обязанность оплаты которого возникла у управляющей организации, а также по иным причинам (например, индексация размера платы за содержание жилого помещения на индекс потребительских цен или прогнозный индекс инфляции) может быть предусмотрен договором управления МКД на основании соответствующего решения ОСС.</w:t>
      </w:r>
    </w:p>
    <w:p>
      <w:pPr>
        <w:pStyle w:val="0"/>
        <w:spacing w:before="240" w:lineRule="auto"/>
        <w:ind w:firstLine="540"/>
        <w:jc w:val="both"/>
      </w:pPr>
      <w:r>
        <w:rPr>
          <w:sz w:val="24"/>
        </w:rPr>
        <w:t xml:space="preserve">В силу </w:t>
      </w:r>
      <w:hyperlink w:history="0" r:id="rId15" w:tooltip="&quot;Жилищный кодекс Российской Федерации&quot; от 29.12.2004 N 188-ФЗ (ред. от 20.02.2026) {КонсультантПлюс}">
        <w:r>
          <w:rPr>
            <w:sz w:val="24"/>
            <w:color w:val="0000ff"/>
          </w:rPr>
          <w:t xml:space="preserve">части 7 статьи 156</w:t>
        </w:r>
      </w:hyperlink>
      <w:r>
        <w:rPr>
          <w:sz w:val="24"/>
        </w:rPr>
        <w:t xml:space="preserve"> ЖК РФ, </w:t>
      </w:r>
      <w:hyperlink w:history="0" r:id="rId16" w:tooltip="Постановление Правительства РФ от 13.08.2006 N 491 (ред. от 07.03.2025)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пункта 31</w:t>
        </w:r>
      </w:hyperlink>
      <w:r>
        <w:rPr>
          <w:sz w:val="24"/>
        </w:rPr>
        <w:t xml:space="preserve"> Правил содержания общего имущества в многоквартирном доме, утвержденных постановлением Правительства Российской Федерации от 13.08.2006 N 491, решение по утверждению размера платы за содержание жилого помещения принимается на срок не менее чем один год.</w:t>
      </w:r>
    </w:p>
    <w:p>
      <w:pPr>
        <w:pStyle w:val="0"/>
        <w:spacing w:before="240" w:lineRule="auto"/>
        <w:ind w:firstLine="540"/>
        <w:jc w:val="both"/>
      </w:pPr>
      <w:r>
        <w:rPr>
          <w:sz w:val="24"/>
        </w:rPr>
        <w:t xml:space="preserve">Следовательно, изменение размера платы за содержание жилого помещения осуществляется не чаще одного раза в год либо на основании решения ОСС, либо в порядке, установленном договором управления МКД.</w:t>
      </w:r>
    </w:p>
    <w:p>
      <w:pPr>
        <w:pStyle w:val="0"/>
        <w:spacing w:before="240" w:lineRule="auto"/>
        <w:ind w:firstLine="540"/>
        <w:jc w:val="both"/>
      </w:pPr>
      <w:r>
        <w:rPr>
          <w:sz w:val="24"/>
        </w:rPr>
        <w:t xml:space="preserve">Решение ОСС действует бессрочно, до момента принятия иного решения. Если решением ОСС утвержден размер платы за содержание, то такой размер платы действует не менее года и может быть изменен (в т.ч. проиндексирован, либо увеличен на размер НДС) в порядке, установленном договором управления МКД. Если в договоре не установлен порядок изменения, тогда размер платы за содержание жилого помещения действует до момента его изменения решением ОСС, независимо от длительности периода действия такого размера платы.</w:t>
      </w:r>
    </w:p>
    <w:p>
      <w:pPr>
        <w:pStyle w:val="0"/>
        <w:spacing w:before="240" w:lineRule="auto"/>
        <w:ind w:firstLine="540"/>
        <w:jc w:val="both"/>
      </w:pPr>
      <w:r>
        <w:rPr>
          <w:sz w:val="24"/>
        </w:rPr>
        <w:t xml:space="preserve">Отмечается, что увеличение размера платы за содержание жилого помещения на величину НДС без соответствующего решения ОСС приведет к росту социальной напряженности среди граждан, а также к увеличению расходов бюджетов бюджетной системы Российской Федерации на оплату услуг по содержанию жилых помещений, находящихся в муниципальной и (или) государственной собственности, а также на выплату субсидий, право на которые может возникнуть в связи с увеличением размера платы за содержание жилого помещения, и компенсаций льготным категориям граждан.</w:t>
      </w:r>
    </w:p>
    <w:p>
      <w:pPr>
        <w:pStyle w:val="0"/>
        <w:spacing w:before="240" w:lineRule="auto"/>
        <w:ind w:firstLine="540"/>
        <w:jc w:val="both"/>
      </w:pPr>
      <w:r>
        <w:rPr>
          <w:sz w:val="24"/>
        </w:rPr>
        <w:t xml:space="preserve">Кроме того, как указано ранее, отсутствие обложения НДС реализации услуг (работ) управляющей организации является конкурентным преимуществом такой организации.</w:t>
      </w:r>
    </w:p>
    <w:p>
      <w:pPr>
        <w:pStyle w:val="0"/>
        <w:spacing w:before="240" w:lineRule="auto"/>
        <w:ind w:firstLine="540"/>
        <w:jc w:val="both"/>
      </w:pPr>
      <w:r>
        <w:rPr>
          <w:sz w:val="24"/>
        </w:rPr>
        <w:t xml:space="preserve">В этой связи установление на законодательном уровне права увеличения размера платы за содержание жилого помещения на величину НДС в случае возникновения у управляющей организации обязанности оплачивать НДС может в числе прочего привести к злоупотреблениям управляющих организаций, применяющих УСНО и не оплачивающих НДС на момент заключения договора управления МКД, впоследствии перешедших на общую систему налогообложения в целях увеличения дохода и в одностороннем порядке увеличивших размер платы за содержание жилого помещения.</w:t>
      </w:r>
    </w:p>
    <w:p>
      <w:pPr>
        <w:pStyle w:val="0"/>
        <w:spacing w:before="240" w:lineRule="auto"/>
        <w:ind w:firstLine="540"/>
        <w:jc w:val="both"/>
      </w:pPr>
      <w:r>
        <w:rPr>
          <w:sz w:val="24"/>
        </w:rPr>
        <w:t xml:space="preserve">Размер платы за содержание жилого помещения не является регулируемым и может быть изменен либо в порядке, предусмотренном договором управления МКД, либо по соглашению сторон договора управления МКД. Решение об изменении размера платы за содержание жилого помещения от имени собственников помещений в МКД принимается на ОСС.</w:t>
      </w:r>
    </w:p>
    <w:p>
      <w:pPr>
        <w:pStyle w:val="0"/>
        <w:spacing w:before="240" w:lineRule="auto"/>
        <w:ind w:firstLine="540"/>
        <w:jc w:val="both"/>
      </w:pPr>
      <w:r>
        <w:rPr>
          <w:sz w:val="24"/>
        </w:rPr>
        <w:t xml:space="preserve">Считаем важным отметить, что согласно </w:t>
      </w:r>
      <w:hyperlink w:history="0" r:id="rId17" w:tooltip="Постановление Конституционного Суда РФ от 25.11.2025 N 41-П &quot;По делу о проверке конституционности пунктов 1 и 2 статьи 424 Гражданского кодекса Российской Федерации, пункта 1 статьи 168 Налогового кодекса Российской Федерации, подпункта &quot;а&quot; пункта 1 статьи 1 Федерального закона от 31 июля 2020 года N 265-ФЗ &quot;О внесении изменений в часть вторую Налогового кодекса Российской Федерации&quot; в связи с жалобой публичного акционерного общества &quot;Банк ВТБ&quot; {КонсультантПлюс}">
        <w:r>
          <w:rPr>
            <w:sz w:val="24"/>
            <w:color w:val="0000ff"/>
          </w:rPr>
          <w:t xml:space="preserve">постановлению</w:t>
        </w:r>
      </w:hyperlink>
      <w:r>
        <w:rPr>
          <w:sz w:val="24"/>
        </w:rPr>
        <w:t xml:space="preserve"> Конституционного Суда Российской Федерации от 25.11.2025 N 41-П "По делу о проверке конституционности пунктов 1 и 2 статьи 424 Гражданского кодекса Российской Федерации, пункта 1 статьи 168 Налогового кодекса Российской Федерации, подпункта "а" пункта 1 статьи 1 Федерального закона от 31.07.2020 N 265-ФЗ "О внесении изменений в часть вторую Налогового кодекса Российской Федерации" в связи с жалобой публичного акционерного общества "Банк ВТБ" (далее - Постановление КС РФ), </w:t>
      </w:r>
      <w:hyperlink w:history="0" r:id="rId1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пункты 1</w:t>
        </w:r>
      </w:hyperlink>
      <w:r>
        <w:rPr>
          <w:sz w:val="24"/>
        </w:rPr>
        <w:t xml:space="preserve"> и </w:t>
      </w:r>
      <w:hyperlink w:history="0" r:id="rId1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2 статьи 424</w:t>
        </w:r>
      </w:hyperlink>
      <w:r>
        <w:rPr>
          <w:sz w:val="24"/>
        </w:rPr>
        <w:t xml:space="preserve"> ГК РФ, </w:t>
      </w:r>
      <w:hyperlink w:history="0" r:id="rId20" w:tooltip="&quot;Налоговый кодекс Российской Федерации (часть вторая)&quot; от 05.08.2000 N 117-ФЗ (ред. от 20.02.2026) (с изм. и доп., вступ. в силу с 20.03.2026) {КонсультантПлюс}">
        <w:r>
          <w:rPr>
            <w:sz w:val="24"/>
            <w:color w:val="0000ff"/>
          </w:rPr>
          <w:t xml:space="preserve">пункт 1 статьи 168</w:t>
        </w:r>
      </w:hyperlink>
      <w:r>
        <w:rPr>
          <w:sz w:val="24"/>
        </w:rPr>
        <w:t xml:space="preserve"> Налогового кодекса Российской Федерации и </w:t>
      </w:r>
      <w:hyperlink w:history="0" r:id="rId21" w:tooltip="Федеральный закон от 31.07.2020 N 265-ФЗ (ред. от 23.11.2020) &quot;О внесении изменений в часть вторую Налогового кодекса Российской Федерации&quot; {КонсультантПлюс}">
        <w:r>
          <w:rPr>
            <w:sz w:val="24"/>
            <w:color w:val="0000ff"/>
          </w:rPr>
          <w:t xml:space="preserve">подпункт "а" пункта 1 статьи 1</w:t>
        </w:r>
      </w:hyperlink>
      <w:r>
        <w:rPr>
          <w:sz w:val="24"/>
        </w:rPr>
        <w:t xml:space="preserve"> Федерального закона от 31.07.2020 N 265-ФЗ "О внесении изменений в часть вторую Налогового кодекса Российской Федерации" в их взаимосвязи признаны не соответствующими </w:t>
      </w:r>
      <w:hyperlink w:history="0" r:id="rId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ввиду своей пробельности относительно решения вопроса об изменении цены длящегося договора (или о его расторжении) в связи с изменениями после его заключения налогового закона, в силу которых при исполнении этого договора у поставщика возникает обязанность по уплате НДС, допускают взыскание поставщиком дополнительного вознаграждения, компенсирующего последствия указанных изменений налогового закона, с покупателя, который не имеет возможности принять соответствующие суммы налога к вычету для компенсации перелагаемых на него потерь.</w:t>
      </w:r>
    </w:p>
    <w:p>
      <w:pPr>
        <w:pStyle w:val="0"/>
        <w:spacing w:before="240" w:lineRule="auto"/>
        <w:ind w:firstLine="540"/>
        <w:jc w:val="both"/>
      </w:pPr>
      <w:r>
        <w:rPr>
          <w:sz w:val="24"/>
        </w:rPr>
        <w:t xml:space="preserve">Так, согласно </w:t>
      </w:r>
      <w:hyperlink w:history="0" r:id="rId23" w:tooltip="Постановление Конституционного Суда РФ от 25.11.2025 N 41-П &quot;По делу о проверке конституционности пунктов 1 и 2 статьи 424 Гражданского кодекса Российской Федерации, пункта 1 статьи 168 Налогового кодекса Российской Федерации, подпункта &quot;а&quot; пункта 1 статьи 1 Федерального закона от 31 июля 2020 года N 265-ФЗ &quot;О внесении изменений в часть вторую Налогового кодекса Российской Федерации&quot; в связи с жалобой публичного акционерного общества &quot;Банк ВТБ&quot; {КонсультантПлюс}">
        <w:r>
          <w:rPr>
            <w:sz w:val="24"/>
            <w:color w:val="0000ff"/>
          </w:rPr>
          <w:t xml:space="preserve">Постановлению</w:t>
        </w:r>
      </w:hyperlink>
      <w:r>
        <w:rPr>
          <w:sz w:val="24"/>
        </w:rPr>
        <w:t xml:space="preserve"> КС РФ предусмотрено временное правовое регулирование. В частности, до внесения в законодательство необходимых изменений, цена, согласованная в длящемся договоре с физическим лицом, не может быть изменена, за исключением случаев, когда физическое лицо при заключении и исполнении договора осуществляет предпринимательскую деятельность.</w:t>
      </w:r>
    </w:p>
    <w:p>
      <w:pPr>
        <w:pStyle w:val="0"/>
        <w:spacing w:before="240" w:lineRule="auto"/>
        <w:ind w:firstLine="540"/>
        <w:jc w:val="both"/>
      </w:pPr>
      <w:r>
        <w:rPr>
          <w:sz w:val="24"/>
        </w:rPr>
        <w:t xml:space="preserve">Дополнительно сообщаем, что в соответствии с </w:t>
      </w:r>
      <w:hyperlink w:history="0" r:id="rId24"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18.03.2026 N 14963-ДН/04</w:t>
            <w:br/>
            <w:t>&lt;Об изменении размера платы за содержание жилого помещения на велич...</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24.03.2026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18.03.2026 N 14963-ДН/04 &lt;Об изменении размера платы за содержание жилого помещения на велич...</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1791&amp;date=24.03.2026&amp;dst=778&amp;field=134&amp;demo=2" TargetMode = "External"/><Relationship Id="rId8" Type="http://schemas.openxmlformats.org/officeDocument/2006/relationships/hyperlink" Target="https://login.consultant.ru/link/?req=doc&amp;base=LAW&amp;n=511791&amp;date=24.03.2026&amp;dst=887&amp;field=134&amp;demo=2" TargetMode = "External"/><Relationship Id="rId9" Type="http://schemas.openxmlformats.org/officeDocument/2006/relationships/hyperlink" Target="https://login.consultant.ru/link/?req=doc&amp;base=LAW&amp;n=511791&amp;date=24.03.2026&amp;dst=685&amp;field=134&amp;demo=2" TargetMode = "External"/><Relationship Id="rId10" Type="http://schemas.openxmlformats.org/officeDocument/2006/relationships/hyperlink" Target="https://login.consultant.ru/link/?req=doc&amp;base=LAW&amp;n=508490&amp;date=24.03.2026&amp;dst=102049&amp;field=134&amp;demo=2" TargetMode = "External"/><Relationship Id="rId11" Type="http://schemas.openxmlformats.org/officeDocument/2006/relationships/hyperlink" Target="https://login.consultant.ru/link/?req=doc&amp;base=LAW&amp;n=511791&amp;date=24.03.2026&amp;dst=100995&amp;field=134&amp;demo=2" TargetMode = "External"/><Relationship Id="rId12" Type="http://schemas.openxmlformats.org/officeDocument/2006/relationships/hyperlink" Target="https://login.consultant.ru/link/?req=doc&amp;base=LAW&amp;n=508490&amp;date=24.03.2026&amp;dst=102127&amp;field=134&amp;demo=2" TargetMode = "External"/><Relationship Id="rId13" Type="http://schemas.openxmlformats.org/officeDocument/2006/relationships/hyperlink" Target="https://login.consultant.ru/link/?req=doc&amp;base=LAW&amp;n=508490&amp;date=24.03.2026&amp;demo=2" TargetMode = "External"/><Relationship Id="rId14" Type="http://schemas.openxmlformats.org/officeDocument/2006/relationships/hyperlink" Target="https://login.consultant.ru/link/?req=doc&amp;base=LAW&amp;n=508490&amp;date=24.03.2026&amp;dst=102128&amp;field=134&amp;demo=2" TargetMode = "External"/><Relationship Id="rId15" Type="http://schemas.openxmlformats.org/officeDocument/2006/relationships/hyperlink" Target="https://login.consultant.ru/link/?req=doc&amp;base=LAW&amp;n=511791&amp;date=24.03.2026&amp;dst=685&amp;field=134&amp;demo=2" TargetMode = "External"/><Relationship Id="rId16" Type="http://schemas.openxmlformats.org/officeDocument/2006/relationships/hyperlink" Target="https://login.consultant.ru/link/?req=doc&amp;base=LAW&amp;n=500914&amp;date=24.03.2026&amp;dst=24&amp;field=134&amp;demo=2" TargetMode = "External"/><Relationship Id="rId17" Type="http://schemas.openxmlformats.org/officeDocument/2006/relationships/hyperlink" Target="https://login.consultant.ru/link/?req=doc&amp;base=LAW&amp;n=519609&amp;date=24.03.2026&amp;dst=100061&amp;field=134&amp;demo=2" TargetMode = "External"/><Relationship Id="rId18" Type="http://schemas.openxmlformats.org/officeDocument/2006/relationships/hyperlink" Target="https://login.consultant.ru/link/?req=doc&amp;base=LAW&amp;n=508490&amp;date=24.03.2026&amp;dst=102005&amp;field=134&amp;demo=2" TargetMode = "External"/><Relationship Id="rId19" Type="http://schemas.openxmlformats.org/officeDocument/2006/relationships/hyperlink" Target="https://login.consultant.ru/link/?req=doc&amp;base=LAW&amp;n=508490&amp;date=24.03.2026&amp;dst=102007&amp;field=134&amp;demo=2" TargetMode = "External"/><Relationship Id="rId20" Type="http://schemas.openxmlformats.org/officeDocument/2006/relationships/hyperlink" Target="https://login.consultant.ru/link/?req=doc&amp;base=LAW&amp;n=527232&amp;date=24.03.2026&amp;dst=16220&amp;field=134&amp;demo=2" TargetMode = "External"/><Relationship Id="rId21" Type="http://schemas.openxmlformats.org/officeDocument/2006/relationships/hyperlink" Target="https://login.consultant.ru/link/?req=doc&amp;base=LAW&amp;n=368631&amp;date=24.03.2026&amp;dst=100011&amp;field=134&amp;demo=2" TargetMode = "External"/><Relationship Id="rId22" Type="http://schemas.openxmlformats.org/officeDocument/2006/relationships/hyperlink" Target="https://login.consultant.ru/link/?req=doc&amp;base=LAW&amp;n=2875&amp;date=24.03.2026&amp;demo=2" TargetMode = "External"/><Relationship Id="rId23" Type="http://schemas.openxmlformats.org/officeDocument/2006/relationships/hyperlink" Target="https://login.consultant.ru/link/?req=doc&amp;base=LAW&amp;n=519609&amp;date=24.03.2026&amp;dst=100065&amp;field=134&amp;demo=2" TargetMode = "External"/><Relationship Id="rId24" Type="http://schemas.openxmlformats.org/officeDocument/2006/relationships/hyperlink" Target="https://login.consultant.ru/link/?req=doc&amp;base=LAW&amp;n=490536&amp;date=24.03.2026&amp;dst=157&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18.03.2026 N 14963-ДН/04
&lt;Об изменении размера платы за содержание жилого помещения на величину НДС&gt;</dc:title>
  <dcterms:created xsi:type="dcterms:W3CDTF">2026-03-24T15:53:16Z</dcterms:created>
</cp:coreProperties>
</file>