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марта 2026 г. N 15592-ДН/06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1.1 статьи 161</w:t>
        </w:r>
      </w:hyperlink>
      <w:r>
        <w:rPr>
          <w:sz w:val="24"/>
        </w:rPr>
        <w:t xml:space="preserve"> Жилищного кодекса Российской Федерации (далее - ЖК РФ) надлежащее содержание общего имущества собственников помещений в многоквартирном доме (далее - МКД) должно осуществляться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, </w:t>
      </w:r>
      <w:hyperlink w:history="0" r:id="rId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"г" пункта 10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общее имущество, принадлежащее на праве общей долевой собственности собственникам помещений в МКД, должно содержаться в соответствии с требованиями законодательства Российской Федерации (в том числе о санитарно-эпидемиологическом благополучии населения, техническом регулировании, защите прав потребителей) в состоянии, обеспечивающем, в том числе, безопасность для жизни и здоровья граждан, сохранность имущества физических или юридических лиц, государственного, муниципального и иного имущества; соблюдение прав и законных интересов собственников помещений, а также иных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подпункту "в" пункта 11</w:t>
        </w:r>
      </w:hyperlink>
      <w:r>
        <w:rPr>
          <w:sz w:val="24"/>
        </w:rPr>
        <w:t xml:space="preserve"> Правил N 491 содержание общего имущества в МКД включает в себя в том числе поддержание помещений, входящих в состав общего имущества, в состоянии, обеспечивающем установленные законодательством Российской Федерации температуру и влажность в таких помещениях, в том числе посредством постоянного поддержания в открытом состоянии в течение всего календарного года одного продуха помещений подвалов и технических подполий, входящих в состав общего имущества, в случае наличия продухов в таких помещениях.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буквального толкования приведенной нормы следует, что один продух в подвалах и технических подпольях (при условии наличия продухов) должен быть постоянно открыт в течение всего года.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и нормы технической эксплуатации жилищного фонда, утвержденные постановлением Госстроя России от 27.09.2003 N 170 (далее - Правила N 170) являются действующими и применяются в части, не противоречащей законодательству Российской Федерации.</w:t>
      </w:r>
    </w:p>
    <w:p>
      <w:pPr>
        <w:pStyle w:val="0"/>
        <w:spacing w:before="240" w:lineRule="auto"/>
        <w:ind w:firstLine="540"/>
        <w:jc w:val="both"/>
      </w:pPr>
      <w:hyperlink w:history="0" r:id="rId12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 3.4.1</w:t>
        </w:r>
      </w:hyperlink>
      <w:r>
        <w:rPr>
          <w:sz w:val="24"/>
        </w:rPr>
        <w:t xml:space="preserve"> Правил N 170 устанавливает, что организация по обслуживанию жилищного фонда должна обеспечить температурно-влажностный режим помещений подвалов и технических подполий, препятствующий выпадению конденсата на поверхностях ограждающих конструкций; чистоту и доступность прохода ко всем элементам подвала и технического подполья; защиту помещений от проникновения животных: грызунов, кошек, собак.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пункта 3.4.7</w:t>
        </w:r>
      </w:hyperlink>
      <w:r>
        <w:rPr>
          <w:sz w:val="24"/>
        </w:rPr>
        <w:t xml:space="preserve"> Правил N 170 на все проемы, каналы и отверстия технического подполья должны быть установлены сетки (размер ячейки - 0,5 см), защищающие здания от проникновения грызунов.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пункту 4.1.4</w:t>
        </w:r>
      </w:hyperlink>
      <w:r>
        <w:rPr>
          <w:sz w:val="24"/>
        </w:rPr>
        <w:t xml:space="preserve"> Правил N 170 площадь продухов должна составлять примерно 1/400 площади пола техподполья или подвала; располагаются продухи на противоположных стенах для сквозного проветривания (не менее 2-х продухов на каждой секции дома), желательно оборудовать продухи жалюзийными решетками.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открытым является продух, обеспечивающий его функционирование по назначению, а именно обеспечение вентиляции (проветривания) соответствующего помещения, в котором оборудован продух.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оборудование продухов, проемов, каналов и отверстий сетками или жалюзийными решетками не означает, что такие продухи, проемы, каналы и отверстия являются закрытыми.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в рассматриваемом случае подлежат применению положения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"в" пункта 11</w:t>
        </w:r>
      </w:hyperlink>
      <w:r>
        <w:rPr>
          <w:sz w:val="24"/>
        </w:rPr>
        <w:t xml:space="preserve"> Правил N 491 и положения </w:t>
      </w:r>
      <w:hyperlink w:history="0" r:id="rId16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170 в части, не противоречащей </w:t>
      </w:r>
      <w:hyperlink w:history="0" r:id="rId1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</w:t>
        </w:r>
      </w:hyperlink>
      <w:r>
        <w:rPr>
          <w:sz w:val="24"/>
        </w:rPr>
        <w:t xml:space="preserve"> N 491.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 1 части 1 статьи 36</w:t>
        </w:r>
      </w:hyperlink>
      <w:r>
        <w:rPr>
          <w:sz w:val="24"/>
        </w:rPr>
        <w:t xml:space="preserve"> ЖК РФ собственникам помещений в МКД принадлежит на праве общей долевой собственности общее имущество в МКД, в числе прочего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подвалы МКД входят в состав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44</w:t>
        </w:r>
      </w:hyperlink>
      <w:r>
        <w:rPr>
          <w:sz w:val="24"/>
        </w:rPr>
        <w:t xml:space="preserve"> ЖК РФ общее собрание собственников помещений в МКД (далее - ОСС) является органом управления МКД. ОСС проводится в целях управления МКД путем обсуждения вопросов повестки дня и принятия решений по вопросам, поставленным на голосование.</w:t>
      </w:r>
    </w:p>
    <w:p>
      <w:pPr>
        <w:pStyle w:val="0"/>
        <w:spacing w:before="240" w:lineRule="auto"/>
        <w:ind w:firstLine="540"/>
        <w:jc w:val="both"/>
      </w:pPr>
      <w:hyperlink w:history="0" r:id="rId2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Пунктом 3 части 2 статьи 44</w:t>
        </w:r>
      </w:hyperlink>
      <w:r>
        <w:rPr>
          <w:sz w:val="24"/>
        </w:rPr>
        <w:t xml:space="preserve"> ЖК РФ установлено, что к компетенции ОСС в том числе относится принятие решений о пользовании общим имуществом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к компетенции ОСС отнесено принятие решений о пользовании подвалами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собственники помещений вправе принять на ОСС решение о содержании животных в подвалах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указанное решение должно содержать порядок обеспечения общих требований к содержанию животных с учетом положений Федерального </w:t>
      </w:r>
      <w:hyperlink w:history="0" r:id="rId21" w:tooltip="Федеральный закон от 27.12.2018 N 498-ФЗ (ред. от 31.07.2025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27.12.2018 N 498-ФЗ "Об ответственном обращении с животными и о внесении изменений в отдельные законодательные акты Российской Федерации" (далее - Закон N 498-ФЗ), в том числе порядок обеспечения надлежащего ухода за животными, а также порядок доступа животных в подвальные помещения, порядок и источники финансирования расходов, необходимых для реализации решения ОСС, а также перечень лиц, ответственных за содержание животных в подвалах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Несоблюдение утвержденного решением ОСС порядка приведет к признанию такого решения нереализованным, вследствие чего содержание животных в подвалах МКД с нарушением утвержденного решением ОСС порядка будет недопустимым.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Реализация решения ОСС не должна приводить к нарушению прав и законных интересов физических и (или) юридических лиц, а также требований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решение о демонтаже сеток или жалюзийных решеток, которыми оборудованы продухи в подвале МКД, приводит к нарушению разъясненных в настоящем письме положений жилищного законодательства, в связи с чем принятие указанного решения не относится к компетенции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оснащение продухов в подвале МКД сетками или жалюзийными решетками с механизмами, позволяющими временно освобождать продух от таких сеток или решеток в целях реализации утвержденного на ОСС порядка доступа животных в подвальные помещения при условии принятия на ОСС решения об источниках и порядке финансирования указанной модернизации, а также при условии недопустимости бесконтрольного удаления сеток или жалюзийных решеток из продухов подвалов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разъясняется, что лица, осуществляющие управление МКД, в соответствии с </w:t>
      </w:r>
      <w:hyperlink w:history="0" r:id="rId22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утвержденного постановлением Правительства Российской Федерации от 03.04.2013 N 290, обязаны выполнять следующие работы в отношении подвалов МКД: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проверка температурно-влажностного режима подвальных помещений и при выявлении нарушений устранение причин его нарушения;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контроль за состоянием дверей подвалов и технических подполий, запорных устройств на них. Устранение выявленных неисправностей.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выявлении в ходе проведения указанных работ несанкционированного нахождения в подвалах МКД животных такие животные должны удаляться из подвалов с соблюдением требований </w:t>
      </w:r>
      <w:hyperlink w:history="0" r:id="rId23" w:tooltip="Федеральный закон от 27.12.2018 N 498-ФЗ (ред. от 31.07.2025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498-ФЗ.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монтажа сеток или жалюзийных решеток на продухах подвала, на которых такие сетки или жалюзийные решетки ранее отсутствовали, лицо, осуществляющее управление МКД, обязано в том числе провести проверку подвала на предмет наличия в нем животных и удалить животных из подвала при их обнаружении в целях недопущения лишения животных возможности выхода из подвального помещения, что может привести к гибели или иному повреждению здоровья таких животных.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в силу </w:t>
      </w:r>
      <w:hyperlink w:history="0" r:id="rId24" w:tooltip="Федеральный закон от 27.12.2018 N 498-ФЗ (ред. от 31.07.2025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 статьи 11</w:t>
        </w:r>
      </w:hyperlink>
      <w:r>
        <w:rPr>
          <w:sz w:val="24"/>
        </w:rPr>
        <w:t xml:space="preserve"> Закона N 498-ФЗ животные должны быть защищены от жестокого обращения. В соответствии с </w:t>
      </w:r>
      <w:hyperlink w:history="0" r:id="rId25" w:tooltip="Федеральный закон от 27.12.2018 N 498-ФЗ (ред. от 31.07.2025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5 статьи 3</w:t>
        </w:r>
      </w:hyperlink>
      <w:r>
        <w:rPr>
          <w:sz w:val="24"/>
        </w:rPr>
        <w:t xml:space="preserve"> Закона N 498-ФЗ под жестоким обращением с животным понимается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</w:t>
      </w:r>
      <w:hyperlink w:history="0" r:id="rId26" w:tooltip="Федеральный закон от 27.12.2018 N 498-ФЗ (ред. от 31.07.2025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498-ФЗ,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 для жизни или здоровья состоянии.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20.03.2026 N 15592-ДН/06</w:t>
            <w:br/>
            <w:t>&lt;О пользовании подвалами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20.03.2026 N 15592-ДН/06 &lt;О пользовании подвалами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791&amp;date=02.04.2026&amp;dst=101109&amp;field=134&amp;demo=2" TargetMode = "External"/><Relationship Id="rId8" Type="http://schemas.openxmlformats.org/officeDocument/2006/relationships/hyperlink" Target="https://login.consultant.ru/link/?req=doc&amp;base=LAW&amp;n=500914&amp;date=02.04.2026&amp;dst=100046&amp;field=134&amp;demo=2" TargetMode = "External"/><Relationship Id="rId9" Type="http://schemas.openxmlformats.org/officeDocument/2006/relationships/hyperlink" Target="https://login.consultant.ru/link/?req=doc&amp;base=LAW&amp;n=500914&amp;date=02.04.2026&amp;dst=100048&amp;field=134&amp;demo=2" TargetMode = "External"/><Relationship Id="rId10" Type="http://schemas.openxmlformats.org/officeDocument/2006/relationships/hyperlink" Target="https://login.consultant.ru/link/?req=doc&amp;base=LAW&amp;n=500914&amp;date=02.04.2026&amp;dst=30&amp;field=134&amp;demo=2" TargetMode = "External"/><Relationship Id="rId11" Type="http://schemas.openxmlformats.org/officeDocument/2006/relationships/hyperlink" Target="https://login.consultant.ru/link/?req=doc&amp;base=LAW&amp;n=44772&amp;date=02.04.2026&amp;dst=100012&amp;field=134&amp;demo=2" TargetMode = "External"/><Relationship Id="rId12" Type="http://schemas.openxmlformats.org/officeDocument/2006/relationships/hyperlink" Target="https://login.consultant.ru/link/?req=doc&amp;base=LAW&amp;n=44772&amp;date=02.04.2026&amp;dst=100293&amp;field=134&amp;demo=2" TargetMode = "External"/><Relationship Id="rId13" Type="http://schemas.openxmlformats.org/officeDocument/2006/relationships/hyperlink" Target="https://login.consultant.ru/link/?req=doc&amp;base=LAW&amp;n=44772&amp;date=02.04.2026&amp;dst=100305&amp;field=134&amp;demo=2" TargetMode = "External"/><Relationship Id="rId14" Type="http://schemas.openxmlformats.org/officeDocument/2006/relationships/hyperlink" Target="https://login.consultant.ru/link/?req=doc&amp;base=LAW&amp;n=44772&amp;date=02.04.2026&amp;dst=100491&amp;field=134&amp;demo=2" TargetMode = "External"/><Relationship Id="rId15" Type="http://schemas.openxmlformats.org/officeDocument/2006/relationships/hyperlink" Target="https://login.consultant.ru/link/?req=doc&amp;base=LAW&amp;n=500914&amp;date=02.04.2026&amp;dst=30&amp;field=134&amp;demo=2" TargetMode = "External"/><Relationship Id="rId16" Type="http://schemas.openxmlformats.org/officeDocument/2006/relationships/hyperlink" Target="https://login.consultant.ru/link/?req=doc&amp;base=LAW&amp;n=44772&amp;date=02.04.2026&amp;dst=100012&amp;field=134&amp;demo=2" TargetMode = "External"/><Relationship Id="rId17" Type="http://schemas.openxmlformats.org/officeDocument/2006/relationships/hyperlink" Target="https://login.consultant.ru/link/?req=doc&amp;base=LAW&amp;n=500914&amp;date=02.04.2026&amp;dst=100021&amp;field=134&amp;demo=2" TargetMode = "External"/><Relationship Id="rId18" Type="http://schemas.openxmlformats.org/officeDocument/2006/relationships/hyperlink" Target="https://login.consultant.ru/link/?req=doc&amp;base=LAW&amp;n=511791&amp;date=02.04.2026&amp;dst=101030&amp;field=134&amp;demo=2" TargetMode = "External"/><Relationship Id="rId19" Type="http://schemas.openxmlformats.org/officeDocument/2006/relationships/hyperlink" Target="https://login.consultant.ru/link/?req=doc&amp;base=LAW&amp;n=511791&amp;date=02.04.2026&amp;dst=101459&amp;field=134&amp;demo=2" TargetMode = "External"/><Relationship Id="rId20" Type="http://schemas.openxmlformats.org/officeDocument/2006/relationships/hyperlink" Target="https://login.consultant.ru/link/?req=doc&amp;base=LAW&amp;n=511791&amp;date=02.04.2026&amp;dst=59&amp;field=134&amp;demo=2" TargetMode = "External"/><Relationship Id="rId21" Type="http://schemas.openxmlformats.org/officeDocument/2006/relationships/hyperlink" Target="https://login.consultant.ru/link/?req=doc&amp;base=LAW&amp;n=511697&amp;date=02.04.2026&amp;demo=2" TargetMode = "External"/><Relationship Id="rId22" Type="http://schemas.openxmlformats.org/officeDocument/2006/relationships/hyperlink" Target="https://login.consultant.ru/link/?req=doc&amp;base=LAW&amp;n=500908&amp;date=02.04.2026&amp;dst=100023&amp;field=134&amp;demo=2" TargetMode = "External"/><Relationship Id="rId23" Type="http://schemas.openxmlformats.org/officeDocument/2006/relationships/hyperlink" Target="https://login.consultant.ru/link/?req=doc&amp;base=LAW&amp;n=511697&amp;date=02.04.2026&amp;demo=2" TargetMode = "External"/><Relationship Id="rId24" Type="http://schemas.openxmlformats.org/officeDocument/2006/relationships/hyperlink" Target="https://login.consultant.ru/link/?req=doc&amp;base=LAW&amp;n=511697&amp;date=02.04.2026&amp;dst=100082&amp;field=134&amp;demo=2" TargetMode = "External"/><Relationship Id="rId25" Type="http://schemas.openxmlformats.org/officeDocument/2006/relationships/hyperlink" Target="https://login.consultant.ru/link/?req=doc&amp;base=LAW&amp;n=511697&amp;date=02.04.2026&amp;dst=100022&amp;field=134&amp;demo=2" TargetMode = "External"/><Relationship Id="rId26" Type="http://schemas.openxmlformats.org/officeDocument/2006/relationships/hyperlink" Target="https://login.consultant.ru/link/?req=doc&amp;base=LAW&amp;n=511697&amp;date=02.04.2026&amp;demo=2" TargetMode = "External"/><Relationship Id="rId27" Type="http://schemas.openxmlformats.org/officeDocument/2006/relationships/hyperlink" Target="https://login.consultant.ru/link/?req=doc&amp;base=LAW&amp;n=490536&amp;date=02.04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20.03.2026 N 15592-ДН/06
&lt;О пользовании подвалами МКД&gt;</dc:title>
  <dcterms:created xsi:type="dcterms:W3CDTF">2026-04-02T13:26:21Z</dcterms:created>
</cp:coreProperties>
</file>