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96C" w:rsidRDefault="0091296C" w:rsidP="0091296C">
      <w:pPr>
        <w:pStyle w:val="a3"/>
        <w:ind w:firstLine="720"/>
        <w:jc w:val="both"/>
      </w:pPr>
      <w:r>
        <w:t>Председательствующий – Чехович В.М.</w:t>
      </w:r>
    </w:p>
    <w:p w:rsidR="0091296C" w:rsidRDefault="0091296C" w:rsidP="0091296C">
      <w:pPr>
        <w:pStyle w:val="a3"/>
        <w:ind w:firstLine="720"/>
        <w:jc w:val="both"/>
      </w:pPr>
      <w:r>
        <w:t>АПЕЛЛЯЦИОННОЕ ОПРЕДЕЛЕНИЕ № 33А-2277/2012</w:t>
      </w:r>
    </w:p>
    <w:p w:rsidR="0091296C" w:rsidRDefault="0091296C" w:rsidP="0091296C">
      <w:pPr>
        <w:pStyle w:val="a3"/>
        <w:ind w:firstLine="720"/>
        <w:jc w:val="both"/>
      </w:pPr>
      <w:r>
        <w:t>24 октября 2012 г. г. Ростов-на-Дону</w:t>
      </w:r>
    </w:p>
    <w:p w:rsidR="0091296C" w:rsidRDefault="0091296C" w:rsidP="0091296C">
      <w:pPr>
        <w:pStyle w:val="a3"/>
        <w:ind w:firstLine="720"/>
        <w:jc w:val="both"/>
      </w:pPr>
      <w:r>
        <w:t>Судебная коллегия по гражданским делам Северо-Кавказского окружного военного суда в составе:</w:t>
      </w:r>
    </w:p>
    <w:p w:rsidR="0091296C" w:rsidRDefault="0091296C" w:rsidP="0091296C">
      <w:pPr>
        <w:pStyle w:val="a3"/>
        <w:ind w:firstLine="720"/>
        <w:jc w:val="both"/>
      </w:pPr>
      <w:r>
        <w:t>председательствующего – Потапченко И.Н.,</w:t>
      </w:r>
    </w:p>
    <w:p w:rsidR="0091296C" w:rsidRDefault="0091296C" w:rsidP="0091296C">
      <w:pPr>
        <w:pStyle w:val="a3"/>
        <w:ind w:firstLine="720"/>
        <w:jc w:val="both"/>
      </w:pPr>
      <w:r>
        <w:t>судей – Давыдова Д.А.,</w:t>
      </w:r>
    </w:p>
    <w:p w:rsidR="0091296C" w:rsidRDefault="0091296C" w:rsidP="0091296C">
      <w:pPr>
        <w:pStyle w:val="a3"/>
        <w:ind w:firstLine="720"/>
        <w:jc w:val="both"/>
      </w:pPr>
      <w:r>
        <w:t>– Шендрикова И.В.,</w:t>
      </w:r>
    </w:p>
    <w:p w:rsidR="0091296C" w:rsidRDefault="0091296C" w:rsidP="0091296C">
      <w:pPr>
        <w:pStyle w:val="a3"/>
        <w:ind w:firstLine="720"/>
        <w:jc w:val="both"/>
      </w:pPr>
      <w:r>
        <w:t>при секретаре – Малиной Ю.Ю.</w:t>
      </w:r>
    </w:p>
    <w:p w:rsidR="0091296C" w:rsidRDefault="0091296C" w:rsidP="0091296C">
      <w:pPr>
        <w:pStyle w:val="a3"/>
        <w:ind w:firstLine="720"/>
        <w:jc w:val="both"/>
      </w:pPr>
      <w:r>
        <w:t xml:space="preserve">рассмотрела гражданское дело по апелляционным жалобам заявителя и представителя Министра обороны РФ – </w:t>
      </w:r>
      <w:r>
        <w:rPr>
          <w:rStyle w:val="others1"/>
        </w:rPr>
        <w:t>&lt;данные изъяты&gt;</w:t>
      </w:r>
      <w:r>
        <w:t xml:space="preserve"> на решение Ростовского-на-Дону гарнизонного военного суда от 23 августа 2012 г., которым частично удовлетворено заявление </w:t>
      </w:r>
      <w:r>
        <w:rPr>
          <w:rStyle w:val="others2"/>
        </w:rPr>
        <w:t>&lt;данные изъяты&gt;</w:t>
      </w:r>
      <w:r>
        <w:t xml:space="preserve"> Пятакова Ивана Владимировича об оспаривании действий руководителя Федерального казенного учреждения «Единый расчетный центр Министерства обороны Российской Федерации» (далее – единый расчетный центр), Министра обороны РФ и начальника Главного управления кадров Министерства обороны РФ (далее – ГУК МО РФ), связанных с порядком выплаты денежного довольствия.</w:t>
      </w:r>
    </w:p>
    <w:p w:rsidR="0091296C" w:rsidRDefault="0091296C" w:rsidP="0091296C">
      <w:pPr>
        <w:pStyle w:val="a3"/>
        <w:ind w:firstLine="720"/>
        <w:jc w:val="both"/>
      </w:pPr>
      <w:r>
        <w:t>Заслушав доклад судьи Шендрикова И.В., объяснения заявителя Пятакова И.В. в обоснование доводов поданной им жалобы и относительно доводов апелляционной жалобы представителя Министра обороны РФ, а также представителя Министра обороны РФ – Подшибякина П.Ю. в обоснование доводов своей жалобы и относительно доводов апелляционной жалобы заявителя, судебная коллегия</w:t>
      </w:r>
    </w:p>
    <w:p w:rsidR="0091296C" w:rsidRDefault="0091296C" w:rsidP="0091296C">
      <w:pPr>
        <w:pStyle w:val="a3"/>
        <w:ind w:firstLine="720"/>
        <w:jc w:val="both"/>
      </w:pPr>
      <w:r>
        <w:t>установила:</w:t>
      </w:r>
    </w:p>
    <w:p w:rsidR="0091296C" w:rsidRDefault="0091296C" w:rsidP="0091296C">
      <w:pPr>
        <w:pStyle w:val="a3"/>
        <w:ind w:firstLine="720"/>
        <w:jc w:val="both"/>
      </w:pPr>
      <w:r>
        <w:t xml:space="preserve">В </w:t>
      </w:r>
      <w:r>
        <w:rPr>
          <w:rStyle w:val="data2"/>
        </w:rPr>
        <w:t>ДД.ММ.ГГГГ</w:t>
      </w:r>
      <w:r>
        <w:t xml:space="preserve"> Пятакову, проходящему военную службу в распоряжении командира войсковой части </w:t>
      </w:r>
      <w:r>
        <w:rPr>
          <w:rStyle w:val="nomer2"/>
        </w:rPr>
        <w:t>№</w:t>
      </w:r>
      <w:r>
        <w:t xml:space="preserve">, выплачено денежное довольствие с учётом </w:t>
      </w:r>
      <w:r>
        <w:rPr>
          <w:rStyle w:val="others4"/>
        </w:rPr>
        <w:t>&lt;данные изъяты&gt;</w:t>
      </w:r>
      <w:r>
        <w:t xml:space="preserve"> должностных обязанностей.</w:t>
      </w:r>
    </w:p>
    <w:p w:rsidR="0091296C" w:rsidRDefault="0091296C" w:rsidP="0091296C">
      <w:pPr>
        <w:pStyle w:val="a3"/>
        <w:ind w:firstLine="720"/>
        <w:jc w:val="both"/>
      </w:pPr>
      <w:r>
        <w:t xml:space="preserve">По этой причине единым расчётным центром при начислении Пятакову денежного довольствия за </w:t>
      </w:r>
      <w:r>
        <w:rPr>
          <w:rStyle w:val="data2"/>
        </w:rPr>
        <w:t>ДД.ММ.ГГГГ</w:t>
      </w:r>
      <w:r>
        <w:t xml:space="preserve"> был уменьшен его размер на сумму излишне произведенных выплат указанной премии.</w:t>
      </w:r>
    </w:p>
    <w:p w:rsidR="0091296C" w:rsidRDefault="0091296C" w:rsidP="0091296C">
      <w:pPr>
        <w:pStyle w:val="a3"/>
        <w:ind w:firstLine="720"/>
        <w:jc w:val="both"/>
      </w:pPr>
      <w:r>
        <w:t xml:space="preserve">С </w:t>
      </w:r>
      <w:r>
        <w:rPr>
          <w:rStyle w:val="data2"/>
        </w:rPr>
        <w:t>ДД.ММ.ГГГГ</w:t>
      </w:r>
      <w:r>
        <w:t xml:space="preserve"> г. выплата денежного довольствия Пятакову производилась с учётом надбавки </w:t>
      </w:r>
      <w:r>
        <w:rPr>
          <w:rStyle w:val="others5"/>
        </w:rPr>
        <w:t>&lt;данные изъяты&gt;</w:t>
      </w:r>
      <w:r>
        <w:t xml:space="preserve"> в </w:t>
      </w:r>
      <w:r>
        <w:rPr>
          <w:rStyle w:val="others6"/>
        </w:rPr>
        <w:t>&lt;данные изъяты&gt;</w:t>
      </w:r>
      <w:r>
        <w:t xml:space="preserve">, а за </w:t>
      </w:r>
      <w:r>
        <w:rPr>
          <w:rStyle w:val="data2"/>
        </w:rPr>
        <w:t>ДД.ММ.ГГГГ</w:t>
      </w:r>
      <w:r>
        <w:t xml:space="preserve">., в соответствии с представленным ГУК МО РФ новым расчётом по выслуге лет, эта выплата произведена исходя из уменьшения этой надбавки в размере </w:t>
      </w:r>
      <w:r>
        <w:rPr>
          <w:rStyle w:val="others7"/>
        </w:rPr>
        <w:t>&lt;данные изъяты&gt;</w:t>
      </w:r>
    </w:p>
    <w:p w:rsidR="0091296C" w:rsidRDefault="0091296C" w:rsidP="0091296C">
      <w:pPr>
        <w:pStyle w:val="a3"/>
        <w:ind w:firstLine="720"/>
        <w:jc w:val="both"/>
      </w:pPr>
      <w:r>
        <w:t xml:space="preserve">Пятаков обратился в суд с заявлением, в котором оспорил действия руководителя единого расчетного центра по начислению ему в неполном объеме денежного довольствия за </w:t>
      </w:r>
      <w:r>
        <w:rPr>
          <w:rStyle w:val="data2"/>
        </w:rPr>
        <w:t>ДД.ММ.ГГГГ</w:t>
      </w:r>
      <w:r>
        <w:t xml:space="preserve"> и просил обязать данное должностное лицо произвести перерасчет и доплату денежного довольствия за указанный период, а также внести изменения в расчёт процентной надбавки за выслугу лет, установив её в прежнем размере – </w:t>
      </w:r>
      <w:r>
        <w:rPr>
          <w:rStyle w:val="others8"/>
        </w:rPr>
        <w:t>&lt;данные изъяты&gt;</w:t>
      </w:r>
    </w:p>
    <w:p w:rsidR="0091296C" w:rsidRDefault="0091296C" w:rsidP="0091296C">
      <w:pPr>
        <w:pStyle w:val="a3"/>
        <w:ind w:firstLine="720"/>
        <w:jc w:val="both"/>
      </w:pPr>
      <w:r>
        <w:lastRenderedPageBreak/>
        <w:t>Решением гарнизонного военного суда заявление удовлетворено частично.</w:t>
      </w:r>
    </w:p>
    <w:p w:rsidR="0091296C" w:rsidRDefault="0091296C" w:rsidP="0091296C">
      <w:pPr>
        <w:pStyle w:val="a3"/>
        <w:ind w:firstLine="720"/>
        <w:jc w:val="both"/>
      </w:pPr>
      <w:r>
        <w:t>Судом возложены обязанности: на начальника ГУК МО РФ – внести изменения в «</w:t>
      </w:r>
      <w:r>
        <w:rPr>
          <w:rStyle w:val="others9"/>
        </w:rPr>
        <w:t>&lt;данные изъяты&gt;</w:t>
      </w:r>
      <w:r>
        <w:t xml:space="preserve">» по установлению Пятакову </w:t>
      </w:r>
      <w:r>
        <w:rPr>
          <w:rStyle w:val="others10"/>
        </w:rPr>
        <w:t>&lt;данные изъяты&gt;</w:t>
      </w:r>
      <w:r>
        <w:t xml:space="preserve"> в качестве надбавки за выслугу лет его военной службы, на Министра обороны РФ – пересчитать выплаченное заявителю денежное довольствие за </w:t>
      </w:r>
      <w:r>
        <w:rPr>
          <w:rStyle w:val="data2"/>
        </w:rPr>
        <w:t>ДД.ММ.ГГГГ</w:t>
      </w:r>
      <w:r>
        <w:t xml:space="preserve"> с учетом </w:t>
      </w:r>
      <w:r>
        <w:rPr>
          <w:rStyle w:val="others11"/>
        </w:rPr>
        <w:t>&lt;данные изъяты&gt;</w:t>
      </w:r>
      <w:r>
        <w:t xml:space="preserve"> данной надбавки, а на руководителя единого расчетного центра – выплатить этот перерасчет.</w:t>
      </w:r>
    </w:p>
    <w:p w:rsidR="0091296C" w:rsidRDefault="0091296C" w:rsidP="0091296C">
      <w:pPr>
        <w:pStyle w:val="a3"/>
        <w:ind w:firstLine="720"/>
        <w:jc w:val="both"/>
      </w:pPr>
      <w:r>
        <w:t xml:space="preserve">В удовлетворении остальных требований: о возложении на руководителя единого расчетного центра обязанности внести изменения в процентную надбавку за выслугу лет, а также произвести перерасчет и доплату денежного довольствия за </w:t>
      </w:r>
      <w:r>
        <w:rPr>
          <w:rStyle w:val="data2"/>
        </w:rPr>
        <w:t>ДД.ММ.ГГГГ</w:t>
      </w:r>
      <w:r>
        <w:t xml:space="preserve"> с учетом имевших место удержаний ранее выплаченных премий, судом отказано.</w:t>
      </w:r>
    </w:p>
    <w:p w:rsidR="0091296C" w:rsidRDefault="0091296C" w:rsidP="0091296C">
      <w:pPr>
        <w:pStyle w:val="a3"/>
        <w:ind w:firstLine="720"/>
        <w:jc w:val="both"/>
      </w:pPr>
      <w:r>
        <w:t>В своей апелляционной жалобе Пятаков просит решение суда в части отказанных в удовлетворении требований отменить и принять по ним новое решение, которым заявление удовлетворить полностью.</w:t>
      </w:r>
    </w:p>
    <w:p w:rsidR="0091296C" w:rsidRDefault="0091296C" w:rsidP="0091296C">
      <w:pPr>
        <w:pStyle w:val="a3"/>
        <w:ind w:firstLine="720"/>
        <w:jc w:val="both"/>
      </w:pPr>
      <w:r>
        <w:t xml:space="preserve">В обоснование жалобы он указывает, что отсутствовали какие-либо правовые основания для уменьшения ему денежного довольствия за </w:t>
      </w:r>
      <w:r>
        <w:rPr>
          <w:rStyle w:val="data2"/>
        </w:rPr>
        <w:t>ДД.ММ.ГГГГ</w:t>
      </w:r>
      <w:r>
        <w:t xml:space="preserve"> поскольку приказ Министра обороны РФ от 30 декабря 2011 г. № 2700 вступил в законную силу после производства перерасчета. При этом в п. 7 данного приказа лишь определены возможность и порядок производства перерасчета, но не содержится оснований для его осуществления.</w:t>
      </w:r>
    </w:p>
    <w:p w:rsidR="0091296C" w:rsidRDefault="0091296C" w:rsidP="0091296C">
      <w:pPr>
        <w:pStyle w:val="a3"/>
        <w:ind w:firstLine="720"/>
        <w:jc w:val="both"/>
      </w:pPr>
      <w:r>
        <w:t>Также заявитель обращает внимание на то, что предметом спора является выплата денежного довольствия в надлежащем размере за указанный месяц, а не размер и порядок ранее выплаченных ему денежных средств. По мнению автора жалобы, поскольку излишняя выплата обусловлена не его виной, а ошибкой довольствующего органа, то в силу требований ст. 1109 ГК РФ данные денежные средства, являющиеся неосновательным обогащением, не подлежали возврату. К тому же такое удержание противоречит положениям, предусмотренным ч. 3 ст. 35 Конституции РФ.</w:t>
      </w:r>
    </w:p>
    <w:p w:rsidR="0091296C" w:rsidRDefault="0091296C" w:rsidP="0091296C">
      <w:pPr>
        <w:pStyle w:val="a3"/>
        <w:ind w:firstLine="720"/>
        <w:jc w:val="both"/>
      </w:pPr>
      <w:r>
        <w:t>В апелляционной жалобе представитель Министра обороны РФ просит отменить решение суда в части удовлетворённых заявителю требований и принять по ним новое решение об отказе в их удовлетворении, поскольку согласно приказу Министра обороны РФ от 5 октября 2011 г. № 1818 обязанность по правильному расчёту денежного довольствия (надбавки за выслугу лет) возложена на командиров воинских частей.</w:t>
      </w:r>
    </w:p>
    <w:p w:rsidR="0091296C" w:rsidRDefault="0091296C" w:rsidP="0091296C">
      <w:pPr>
        <w:pStyle w:val="a3"/>
        <w:ind w:firstLine="720"/>
        <w:jc w:val="both"/>
      </w:pPr>
      <w:r>
        <w:t>Проверив материалы дела и обсудив доводы, приведённые в апелляционной жалобе, судебная коллегия находит решение гарнизонного военного суда законным и обоснованным.</w:t>
      </w:r>
    </w:p>
    <w:p w:rsidR="0091296C" w:rsidRDefault="0091296C" w:rsidP="0091296C">
      <w:pPr>
        <w:pStyle w:val="a3"/>
        <w:ind w:firstLine="720"/>
        <w:jc w:val="both"/>
      </w:pPr>
      <w:r>
        <w:t>Судебное разбирательство по данному делу проведено всесторонне, полно и объективно, с выяснением всех обстоятельств, имеющих значение для дела, которым судом в решении дана надлежащая правовая оценка.</w:t>
      </w:r>
    </w:p>
    <w:p w:rsidR="0091296C" w:rsidRDefault="0091296C" w:rsidP="0091296C">
      <w:pPr>
        <w:pStyle w:val="a3"/>
        <w:ind w:firstLine="720"/>
        <w:jc w:val="both"/>
      </w:pPr>
      <w:r>
        <w:t>Так, в соответствии со ст. 32 Федерального закона «О денежном довольствии военнослужащих и предоставлении им отдельных выплат», порядок обеспечения военнослужащих денежным довольствием определяется федеральными органами исполнительной власти, в которых федеральным законом предусмотрена военная служба.</w:t>
      </w:r>
    </w:p>
    <w:p w:rsidR="0091296C" w:rsidRDefault="0091296C" w:rsidP="0091296C">
      <w:pPr>
        <w:pStyle w:val="a3"/>
        <w:ind w:firstLine="720"/>
        <w:jc w:val="both"/>
      </w:pPr>
      <w:r>
        <w:lastRenderedPageBreak/>
        <w:t xml:space="preserve">Во исполнение данной нормы Министром обороны РФ был издан приказ от 30 декабря 2011 г. № 2700, которым утвержден Порядок обеспечения денежным довольствием военнослужащих </w:t>
      </w:r>
      <w:r>
        <w:rPr>
          <w:rStyle w:val="isl"/>
        </w:rPr>
        <w:t>Вооруженных Сил Российской</w:t>
      </w:r>
      <w:r>
        <w:t xml:space="preserve"> Федерации (далее – Порядок).</w:t>
      </w:r>
    </w:p>
    <w:p w:rsidR="0091296C" w:rsidRDefault="0091296C" w:rsidP="0091296C">
      <w:pPr>
        <w:pStyle w:val="a3"/>
        <w:ind w:firstLine="720"/>
        <w:jc w:val="both"/>
      </w:pPr>
      <w:r>
        <w:t>Согласно пп. 77 и 80 Порядка военнослужащим, проходящим военную службу по контракту, выплачивается премия за добросовестное и эффективное исполнение должностных обязанностей. Премия не выплачивается военнослужащим в период нахождения в распоряжении командиров, за исключением периодов временного исполнения ими обязанностей по вакантным воинским должностям.</w:t>
      </w:r>
    </w:p>
    <w:p w:rsidR="0091296C" w:rsidRDefault="0091296C" w:rsidP="0091296C">
      <w:pPr>
        <w:pStyle w:val="a3"/>
        <w:ind w:firstLine="720"/>
        <w:jc w:val="both"/>
      </w:pPr>
      <w:r>
        <w:t xml:space="preserve">Как усматривается из материалов дела, Пятаков с </w:t>
      </w:r>
      <w:r>
        <w:rPr>
          <w:rStyle w:val="data2"/>
        </w:rPr>
        <w:t>ДД.ММ.ГГГГ</w:t>
      </w:r>
      <w:r>
        <w:t xml:space="preserve"> проходит военную службу, находясь в распоряжении командования войсковой части </w:t>
      </w:r>
      <w:r>
        <w:rPr>
          <w:rStyle w:val="nomer2"/>
        </w:rPr>
        <w:t>№</w:t>
      </w:r>
      <w:r>
        <w:t>, в указанный период времени к временному исполнению обязанностей по вакантным воинским должностям в данной воинской части он не допускался.</w:t>
      </w:r>
    </w:p>
    <w:p w:rsidR="0091296C" w:rsidRDefault="0091296C" w:rsidP="0091296C">
      <w:pPr>
        <w:pStyle w:val="a3"/>
        <w:ind w:firstLine="720"/>
        <w:jc w:val="both"/>
      </w:pPr>
      <w:r>
        <w:t xml:space="preserve">    Из возражений представителя руководителя единого расчетного центра на заявление Пятакова видно, что денежное довольствие за </w:t>
      </w:r>
      <w:r>
        <w:rPr>
          <w:rStyle w:val="data2"/>
        </w:rPr>
        <w:t>ДД.ММ.ГГГГ</w:t>
      </w:r>
      <w:r>
        <w:t xml:space="preserve"> было ошибочно начислено и выплачено заявителю с учетом </w:t>
      </w:r>
      <w:r>
        <w:rPr>
          <w:rStyle w:val="others12"/>
        </w:rPr>
        <w:t>&lt;данные изъяты&gt;</w:t>
      </w:r>
    </w:p>
    <w:p w:rsidR="0091296C" w:rsidRDefault="0091296C" w:rsidP="0091296C">
      <w:pPr>
        <w:pStyle w:val="a3"/>
        <w:ind w:firstLine="720"/>
        <w:jc w:val="both"/>
      </w:pPr>
      <w:r>
        <w:t xml:space="preserve">В связи с этим суд первой инстанции сделал правильный вывод о том, что поскольку в </w:t>
      </w:r>
      <w:r>
        <w:rPr>
          <w:rStyle w:val="data2"/>
        </w:rPr>
        <w:t>ДД.ММ.ГГГГ</w:t>
      </w:r>
      <w:r>
        <w:t xml:space="preserve"> и </w:t>
      </w:r>
      <w:r>
        <w:rPr>
          <w:rStyle w:val="data2"/>
        </w:rPr>
        <w:t>ДД.ММ.ГГГГ</w:t>
      </w:r>
      <w:r>
        <w:t xml:space="preserve"> заявитель проходил военную службу в распоряжении командира, то он не имел права на получение оспариваемой премии.</w:t>
      </w:r>
    </w:p>
    <w:p w:rsidR="0091296C" w:rsidRDefault="0091296C" w:rsidP="0091296C">
      <w:pPr>
        <w:pStyle w:val="a3"/>
        <w:ind w:firstLine="720"/>
        <w:jc w:val="both"/>
      </w:pPr>
      <w:r>
        <w:t>Согласно п. 7 указанного выше Порядка, в случае если денежное довольствие военнослужащему выплачено в большем, чем следовало, размере, при выплате денежного довольствия за очередной месяц производится его перерасчет, но не более чем за три года, предшествовавшие перерасчету.</w:t>
      </w:r>
    </w:p>
    <w:p w:rsidR="0091296C" w:rsidRDefault="0091296C" w:rsidP="0091296C">
      <w:pPr>
        <w:pStyle w:val="a3"/>
        <w:ind w:firstLine="720"/>
        <w:jc w:val="both"/>
      </w:pPr>
      <w:r>
        <w:t>С учетом изложенного, и вопреки приведенным доводам Пятакова, гарнизонный военный суд обоснованно указал на правомерность произведенного довольствующим органом перерасчета излишне выплаченных Пятакову денежных средств.</w:t>
      </w:r>
    </w:p>
    <w:p w:rsidR="0091296C" w:rsidRDefault="0091296C" w:rsidP="0091296C">
      <w:pPr>
        <w:pStyle w:val="a3"/>
        <w:ind w:firstLine="720"/>
        <w:jc w:val="both"/>
      </w:pPr>
      <w:r>
        <w:t xml:space="preserve">Ссылка заявителя на то, что на момент начисления и выплаты денежного довольствия за </w:t>
      </w:r>
      <w:r>
        <w:rPr>
          <w:rStyle w:val="data2"/>
        </w:rPr>
        <w:t>ДД.ММ.ГГГГ</w:t>
      </w:r>
      <w:r>
        <w:t>. приказ Министра обороны РФ от 30 декабря 2011 г. № 2700 не вступил в законную силу, является несостоятельной, поскольку на указанный момент, названный приказ с учетом стадии его корректировки был зарегистрирован в Министерстве юстиции РФ, что свидетельствует о его законности. При этом п. 2 названного приказа прямо предусмотрено, что Порядок подлежит применению с 1 января 2012 г.</w:t>
      </w:r>
    </w:p>
    <w:p w:rsidR="0091296C" w:rsidRDefault="0091296C" w:rsidP="0091296C">
      <w:pPr>
        <w:pStyle w:val="a3"/>
        <w:ind w:firstLine="720"/>
        <w:jc w:val="both"/>
      </w:pPr>
      <w:r>
        <w:t>Вопреки доводам автора жалобы, вывод суда о том, что в результате произведенного перерасчета денежного довольствия право заявителя на получение денежного довольствия в положенном ему размере не нарушено, является правильным.</w:t>
      </w:r>
    </w:p>
    <w:p w:rsidR="0091296C" w:rsidRDefault="0091296C" w:rsidP="0091296C">
      <w:pPr>
        <w:pStyle w:val="a3"/>
        <w:ind w:firstLine="720"/>
        <w:jc w:val="both"/>
      </w:pPr>
      <w:r>
        <w:t xml:space="preserve">Пунктами 13 и 14 «О денежном довольствии военнослужащих и предоставлении им отдельных выплат» предусмотрена выплата военнослужащим ежемесячной надбавки за выслугу лет к окладу денежного содержания в размере: 20 процентов - при выслуге от 10 до 15 лет и 25 процентов - при выслуге от 15 до 20 лет. Правила исчисления выслуги лет для назначения ежемесячной надбавки, определяются </w:t>
      </w:r>
      <w:r>
        <w:rPr>
          <w:rStyle w:val="isl"/>
        </w:rPr>
        <w:t>Правительством Российской Федерации</w:t>
      </w:r>
      <w:r>
        <w:t>.</w:t>
      </w:r>
    </w:p>
    <w:p w:rsidR="0091296C" w:rsidRDefault="0091296C" w:rsidP="0091296C">
      <w:pPr>
        <w:pStyle w:val="a3"/>
        <w:ind w:firstLine="720"/>
        <w:jc w:val="both"/>
      </w:pPr>
      <w:r>
        <w:lastRenderedPageBreak/>
        <w:t>Пунктом 3 Правил исчисления выслуги лет для назначения военнослужащим, проходящим военную службу по контракту, ежемесячной надбавки за выслугу лет, утвержденных постановлением Правительства РФ от 21 декабря 2011 г. № 1074 «О порядке исчисления выслуги лет для назначения военнослужащим, проходящим военную службу по контракту, ежемесячной надбавки за выслугу лет» установлено, что военнослужащим в выслугу лет засчитывается на льготных условиях (1 месяц службы за 2 месяца) время военной службы на воинских должностях летного состава, выполняющего полеты по планам боевой (учебно-летной) подготовки в составе экипажей самолетов.</w:t>
      </w:r>
    </w:p>
    <w:p w:rsidR="0091296C" w:rsidRDefault="0091296C" w:rsidP="0091296C">
      <w:pPr>
        <w:pStyle w:val="a3"/>
        <w:ind w:firstLine="720"/>
        <w:jc w:val="both"/>
      </w:pPr>
      <w:r>
        <w:t xml:space="preserve">Из представленной суду первой инстанции справки от </w:t>
      </w:r>
      <w:r>
        <w:rPr>
          <w:rStyle w:val="data2"/>
        </w:rPr>
        <w:t>ДД.ММ.ГГГГ</w:t>
      </w:r>
      <w:r>
        <w:t xml:space="preserve"> № </w:t>
      </w:r>
      <w:r>
        <w:rPr>
          <w:rStyle w:val="nomer2"/>
        </w:rPr>
        <w:t>№</w:t>
      </w:r>
      <w:r>
        <w:t xml:space="preserve">, а также копии послужного списка заявителя с листом учета </w:t>
      </w:r>
      <w:r>
        <w:rPr>
          <w:rStyle w:val="others13"/>
        </w:rPr>
        <w:t>&lt;данные изъяты&gt;</w:t>
      </w:r>
      <w:r>
        <w:t xml:space="preserve">, выслуга лет заявителя в льготном исчислении, с зачетом времени нахождения на летной работе составляет </w:t>
      </w:r>
      <w:r>
        <w:rPr>
          <w:rStyle w:val="others14"/>
        </w:rPr>
        <w:t>&lt;данные изъяты&gt;</w:t>
      </w:r>
    </w:p>
    <w:p w:rsidR="0091296C" w:rsidRDefault="0091296C" w:rsidP="0091296C">
      <w:pPr>
        <w:pStyle w:val="a3"/>
        <w:ind w:firstLine="720"/>
        <w:jc w:val="both"/>
      </w:pPr>
      <w:r>
        <w:t xml:space="preserve">При таких данных, гарнизонный военный суд пришёл к обоснованному выводу о том, что размер ежемесячной надбавки за выслугу лет заявителя должен составлять </w:t>
      </w:r>
      <w:r>
        <w:rPr>
          <w:rStyle w:val="others15"/>
        </w:rPr>
        <w:t>&lt;данные изъяты&gt;</w:t>
      </w:r>
    </w:p>
    <w:p w:rsidR="0091296C" w:rsidRDefault="0091296C" w:rsidP="0091296C">
      <w:pPr>
        <w:pStyle w:val="a3"/>
        <w:ind w:firstLine="720"/>
        <w:jc w:val="both"/>
      </w:pPr>
      <w:r>
        <w:t xml:space="preserve">Однако из поступивших из единого расчётного центра сведений о выплаченном Пятакову денежного довольствия за </w:t>
      </w:r>
      <w:r>
        <w:rPr>
          <w:rStyle w:val="data2"/>
        </w:rPr>
        <w:t>ДД.ММ.ГГГГ</w:t>
      </w:r>
      <w:r>
        <w:t xml:space="preserve">., судом первой инстанции установлено, что согласно представленному ГУК МО РФ новому расчёту по выслуге лет заявителя, ему начислялось </w:t>
      </w:r>
      <w:r>
        <w:rPr>
          <w:rStyle w:val="others16"/>
        </w:rPr>
        <w:t>&lt;данные изъяты&gt;</w:t>
      </w:r>
      <w:r>
        <w:t xml:space="preserve"> в качестве оспариваемой надбавки.</w:t>
      </w:r>
    </w:p>
    <w:p w:rsidR="0091296C" w:rsidRDefault="0091296C" w:rsidP="0091296C">
      <w:pPr>
        <w:pStyle w:val="a3"/>
        <w:ind w:firstLine="720"/>
        <w:jc w:val="both"/>
      </w:pPr>
      <w:r>
        <w:t>С учётом изложенного, суд первой инстанции обоснованно пришёл к выводу, что начальник ГУК МО РФ дал неправомерное указание об уменьшении заявителю надбавки за выслугу лет и внесении об этом сведений в программное обеспечение, в связи с чем на указанное должностное лицо правильно возложена обязанность по внесению изменений в «</w:t>
      </w:r>
      <w:r>
        <w:rPr>
          <w:rStyle w:val="others17"/>
        </w:rPr>
        <w:t>&lt;данные изъяты&gt;</w:t>
      </w:r>
      <w:r>
        <w:t xml:space="preserve">» об установлению заявителю </w:t>
      </w:r>
      <w:r>
        <w:rPr>
          <w:rStyle w:val="others18"/>
        </w:rPr>
        <w:t>&lt;данные изъяты&gt;</w:t>
      </w:r>
      <w:r>
        <w:t xml:space="preserve"> в качестве надбавки за выслугу лет. </w:t>
      </w:r>
    </w:p>
    <w:p w:rsidR="0091296C" w:rsidRDefault="0091296C" w:rsidP="0091296C">
      <w:pPr>
        <w:pStyle w:val="a3"/>
        <w:ind w:firstLine="720"/>
        <w:jc w:val="both"/>
      </w:pPr>
      <w:r>
        <w:t>Таким образом, вопреки приведенному представителем Министра обороны РФ доводу, оснований для отмены судебного постановления в указанной части не имеется.</w:t>
      </w:r>
    </w:p>
    <w:p w:rsidR="0091296C" w:rsidRDefault="0091296C" w:rsidP="0091296C">
      <w:pPr>
        <w:pStyle w:val="a3"/>
        <w:ind w:firstLine="720"/>
        <w:jc w:val="both"/>
      </w:pPr>
      <w:r>
        <w:t>Однако гарнизонный военный суд, принимая во внимание, что руководитель единого расчетного центра не правомочен вносить изменения по процентной надбавке за выслугу лет военнослужащих, обоснованно отказал в удовлетворении требования заявителя о возложении на указанное должностное лицо обязанности по внесению изменений в процентную надбавку за выслугу лет.</w:t>
      </w:r>
    </w:p>
    <w:p w:rsidR="0091296C" w:rsidRDefault="0091296C" w:rsidP="0091296C">
      <w:pPr>
        <w:pStyle w:val="a3"/>
        <w:ind w:firstLine="720"/>
        <w:jc w:val="both"/>
      </w:pPr>
      <w:r>
        <w:t>На основании изложенного и руководствуясь ст. 327.1, 328 и 329 ГПК РФ, судебная коллегия</w:t>
      </w:r>
    </w:p>
    <w:p w:rsidR="0091296C" w:rsidRDefault="0091296C" w:rsidP="0091296C">
      <w:pPr>
        <w:pStyle w:val="a3"/>
        <w:ind w:firstLine="720"/>
        <w:jc w:val="both"/>
      </w:pPr>
      <w:r>
        <w:t>определила:</w:t>
      </w:r>
    </w:p>
    <w:p w:rsidR="0091296C" w:rsidRDefault="0091296C" w:rsidP="0091296C">
      <w:pPr>
        <w:pStyle w:val="a3"/>
        <w:ind w:firstLine="720"/>
        <w:jc w:val="both"/>
      </w:pPr>
      <w:r>
        <w:t>Решение Ростовского-на-Дону гарнизонного военного суда от 23 августа 2012 г. по заявлению Пятакова Ивана Владимировича оставить без изменения, а апелляционные жалобы заявителя и представителя Министра обороны РФ – без удовлетворения.</w:t>
      </w:r>
    </w:p>
    <w:p w:rsidR="0091296C" w:rsidRDefault="0091296C" w:rsidP="0091296C">
      <w:pPr>
        <w:pStyle w:val="a3"/>
        <w:ind w:firstLine="720"/>
        <w:jc w:val="both"/>
      </w:pPr>
      <w:r>
        <w:t>Председательствующий</w:t>
      </w:r>
    </w:p>
    <w:p w:rsidR="0091296C" w:rsidRDefault="0091296C" w:rsidP="0091296C">
      <w:pPr>
        <w:pStyle w:val="a3"/>
        <w:ind w:firstLine="720"/>
        <w:jc w:val="both"/>
      </w:pPr>
      <w:r>
        <w:t xml:space="preserve">Судьи: </w:t>
      </w:r>
    </w:p>
    <w:p w:rsidR="00FC074B" w:rsidRDefault="0091296C"/>
    <w:sectPr w:rsidR="00FC074B" w:rsidSect="00EF1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91296C"/>
    <w:rsid w:val="004B68A2"/>
    <w:rsid w:val="0091296C"/>
    <w:rsid w:val="00E71644"/>
    <w:rsid w:val="00EF1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2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2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91296C"/>
  </w:style>
  <w:style w:type="character" w:customStyle="1" w:styleId="others2">
    <w:name w:val="others2"/>
    <w:basedOn w:val="a0"/>
    <w:rsid w:val="0091296C"/>
  </w:style>
  <w:style w:type="character" w:customStyle="1" w:styleId="data2">
    <w:name w:val="data2"/>
    <w:basedOn w:val="a0"/>
    <w:rsid w:val="0091296C"/>
  </w:style>
  <w:style w:type="character" w:customStyle="1" w:styleId="nomer2">
    <w:name w:val="nomer2"/>
    <w:basedOn w:val="a0"/>
    <w:rsid w:val="0091296C"/>
  </w:style>
  <w:style w:type="character" w:customStyle="1" w:styleId="others4">
    <w:name w:val="others4"/>
    <w:basedOn w:val="a0"/>
    <w:rsid w:val="0091296C"/>
  </w:style>
  <w:style w:type="character" w:customStyle="1" w:styleId="others5">
    <w:name w:val="others5"/>
    <w:basedOn w:val="a0"/>
    <w:rsid w:val="0091296C"/>
  </w:style>
  <w:style w:type="character" w:customStyle="1" w:styleId="others6">
    <w:name w:val="others6"/>
    <w:basedOn w:val="a0"/>
    <w:rsid w:val="0091296C"/>
  </w:style>
  <w:style w:type="character" w:customStyle="1" w:styleId="others7">
    <w:name w:val="others7"/>
    <w:basedOn w:val="a0"/>
    <w:rsid w:val="0091296C"/>
  </w:style>
  <w:style w:type="character" w:customStyle="1" w:styleId="others8">
    <w:name w:val="others8"/>
    <w:basedOn w:val="a0"/>
    <w:rsid w:val="0091296C"/>
  </w:style>
  <w:style w:type="character" w:customStyle="1" w:styleId="others9">
    <w:name w:val="others9"/>
    <w:basedOn w:val="a0"/>
    <w:rsid w:val="0091296C"/>
  </w:style>
  <w:style w:type="character" w:customStyle="1" w:styleId="others10">
    <w:name w:val="others10"/>
    <w:basedOn w:val="a0"/>
    <w:rsid w:val="0091296C"/>
  </w:style>
  <w:style w:type="character" w:customStyle="1" w:styleId="others11">
    <w:name w:val="others11"/>
    <w:basedOn w:val="a0"/>
    <w:rsid w:val="0091296C"/>
  </w:style>
  <w:style w:type="character" w:customStyle="1" w:styleId="isl">
    <w:name w:val="isl"/>
    <w:basedOn w:val="a0"/>
    <w:rsid w:val="0091296C"/>
  </w:style>
  <w:style w:type="character" w:customStyle="1" w:styleId="others12">
    <w:name w:val="others12"/>
    <w:basedOn w:val="a0"/>
    <w:rsid w:val="0091296C"/>
  </w:style>
  <w:style w:type="character" w:customStyle="1" w:styleId="others13">
    <w:name w:val="others13"/>
    <w:basedOn w:val="a0"/>
    <w:rsid w:val="0091296C"/>
  </w:style>
  <w:style w:type="character" w:customStyle="1" w:styleId="others14">
    <w:name w:val="others14"/>
    <w:basedOn w:val="a0"/>
    <w:rsid w:val="0091296C"/>
  </w:style>
  <w:style w:type="character" w:customStyle="1" w:styleId="others15">
    <w:name w:val="others15"/>
    <w:basedOn w:val="a0"/>
    <w:rsid w:val="0091296C"/>
  </w:style>
  <w:style w:type="character" w:customStyle="1" w:styleId="others16">
    <w:name w:val="others16"/>
    <w:basedOn w:val="a0"/>
    <w:rsid w:val="0091296C"/>
  </w:style>
  <w:style w:type="character" w:customStyle="1" w:styleId="others17">
    <w:name w:val="others17"/>
    <w:basedOn w:val="a0"/>
    <w:rsid w:val="0091296C"/>
  </w:style>
  <w:style w:type="character" w:customStyle="1" w:styleId="others18">
    <w:name w:val="others18"/>
    <w:basedOn w:val="a0"/>
    <w:rsid w:val="009129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6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1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1628</Words>
  <Characters>9281</Characters>
  <Application>Microsoft Office Word</Application>
  <DocSecurity>0</DocSecurity>
  <Lines>77</Lines>
  <Paragraphs>21</Paragraphs>
  <ScaleCrop>false</ScaleCrop>
  <Company>Microsoft</Company>
  <LinksUpToDate>false</LinksUpToDate>
  <CharactersWithSpaces>10888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2012-11-12T23:58:00Z</dcterms:created>
  <dcterms:modified xsi:type="dcterms:W3CDTF">2012-11-13T00:00:00Z</dcterms:modified>
</cp:coreProperties>
</file>