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jc w:val="right"/>
      </w:pPr>
      <w:r>
        <w:rPr>
          <w:sz w:val="28"/>
          <w:szCs w:val="28"/>
        </w:rPr>
        <w:t>В Ростовский-на-Дону гарнизонный военный суд</w:t>
      </w:r>
    </w:p>
    <w:p>
      <w:pPr>
        <w:pStyle w:val="style0"/>
        <w:jc w:val="right"/>
      </w:pPr>
      <w:r>
        <w:rPr>
          <w:sz w:val="28"/>
          <w:szCs w:val="28"/>
        </w:rPr>
        <w:t>344022 г. Ростов-на-Дону ул. М.Горького д.254</w:t>
      </w:r>
    </w:p>
    <w:p>
      <w:pPr>
        <w:pStyle w:val="style0"/>
        <w:jc w:val="right"/>
      </w:pPr>
      <w:r>
        <w:rPr>
          <w:sz w:val="28"/>
          <w:szCs w:val="28"/>
        </w:rPr>
        <w:t xml:space="preserve">от </w:t>
      </w:r>
    </w:p>
    <w:p>
      <w:pPr>
        <w:pStyle w:val="style0"/>
        <w:jc w:val="right"/>
      </w:pPr>
      <w:r>
        <w:rPr>
          <w:sz w:val="28"/>
          <w:szCs w:val="28"/>
        </w:rPr>
      </w:r>
    </w:p>
    <w:p>
      <w:pPr>
        <w:pStyle w:val="style0"/>
        <w:jc w:val="right"/>
      </w:pPr>
      <w:r>
        <w:rPr>
          <w:sz w:val="28"/>
          <w:szCs w:val="28"/>
        </w:rPr>
        <w:t>Должностное лицо, действия которого оспариваются:</w:t>
      </w:r>
    </w:p>
    <w:p>
      <w:pPr>
        <w:pStyle w:val="style0"/>
        <w:jc w:val="right"/>
      </w:pPr>
      <w:r>
        <w:rPr>
          <w:sz w:val="28"/>
          <w:szCs w:val="28"/>
        </w:rPr>
        <w:t>Руководитель ФКУ «ЕРЦ МО РФ»</w:t>
      </w:r>
    </w:p>
    <w:p>
      <w:pPr>
        <w:pStyle w:val="style0"/>
        <w:jc w:val="right"/>
      </w:pPr>
      <w:r>
        <w:rPr>
          <w:sz w:val="28"/>
          <w:szCs w:val="28"/>
        </w:rPr>
        <w:t>105066, г.Москва, ул. Спартаковская, д.2</w:t>
      </w:r>
    </w:p>
    <w:p>
      <w:pPr>
        <w:pStyle w:val="style0"/>
        <w:jc w:val="right"/>
      </w:pPr>
      <w:r>
        <w:rPr>
          <w:sz w:val="28"/>
          <w:szCs w:val="28"/>
        </w:rPr>
      </w:r>
    </w:p>
    <w:p>
      <w:pPr>
        <w:pStyle w:val="style0"/>
        <w:jc w:val="right"/>
      </w:pPr>
      <w:r>
        <w:rPr>
          <w:sz w:val="28"/>
          <w:szCs w:val="28"/>
        </w:rPr>
      </w:r>
    </w:p>
    <w:p>
      <w:pPr>
        <w:pStyle w:val="style0"/>
        <w:jc w:val="center"/>
      </w:pPr>
      <w:r>
        <w:rPr>
          <w:sz w:val="28"/>
          <w:szCs w:val="28"/>
        </w:rPr>
        <w:t>ЗАЯВЛЕНИЕ</w:t>
      </w:r>
    </w:p>
    <w:p>
      <w:pPr>
        <w:pStyle w:val="style0"/>
        <w:jc w:val="center"/>
      </w:pPr>
      <w:r>
        <w:rPr>
          <w:sz w:val="28"/>
          <w:szCs w:val="28"/>
        </w:rPr>
      </w:r>
    </w:p>
    <w:p>
      <w:pPr>
        <w:pStyle w:val="style0"/>
        <w:jc w:val="center"/>
      </w:pPr>
      <w:r>
        <w:rPr>
          <w:sz w:val="28"/>
          <w:szCs w:val="28"/>
        </w:rPr>
        <w:t>Об оспаривании действий руководителя Единого расчетного центра Министерства Обороны РФ, связанные с неполной выплатой денежного довольствия за ноябрь, декабрь 2012 года и январь, февраль 2013 года.</w:t>
      </w:r>
    </w:p>
    <w:p>
      <w:pPr>
        <w:pStyle w:val="style0"/>
        <w:jc w:val="center"/>
      </w:pPr>
      <w:r>
        <w:rPr>
          <w:sz w:val="24"/>
          <w:szCs w:val="24"/>
        </w:rPr>
      </w:r>
    </w:p>
    <w:p>
      <w:pPr>
        <w:pStyle w:val="style0"/>
        <w:jc w:val="center"/>
      </w:pPr>
      <w:r>
        <w:rPr>
          <w:sz w:val="24"/>
          <w:szCs w:val="24"/>
        </w:rPr>
      </w:r>
    </w:p>
    <w:p>
      <w:pPr>
        <w:pStyle w:val="style0"/>
        <w:jc w:val="both"/>
      </w:pPr>
      <w:r>
        <w:rPr>
          <w:sz w:val="28"/>
          <w:szCs w:val="28"/>
        </w:rPr>
        <w:t xml:space="preserve">Я, , </w:t>
      </w:r>
      <w:r>
        <w:rPr>
          <w:sz w:val="28"/>
          <w:szCs w:val="28"/>
        </w:rPr>
        <w:t>военнослужащий</w:t>
      </w:r>
      <w:r>
        <w:rPr>
          <w:sz w:val="28"/>
          <w:szCs w:val="28"/>
        </w:rPr>
        <w:t xml:space="preserve"> войсковой части </w:t>
      </w:r>
      <w:r>
        <w:rPr>
          <w:sz w:val="28"/>
          <w:szCs w:val="28"/>
        </w:rPr>
        <w:t xml:space="preserve">№ приказом № </w:t>
      </w:r>
      <w:r>
        <w:rPr>
          <w:sz w:val="28"/>
          <w:szCs w:val="28"/>
        </w:rPr>
        <w:t>Командующего</w:t>
      </w:r>
      <w:r>
        <w:rPr>
          <w:sz w:val="28"/>
          <w:szCs w:val="28"/>
        </w:rPr>
        <w:t xml:space="preserve"> СКВО выведен в распоряжение командира войсковой части №</w:t>
      </w:r>
      <w:r>
        <w:rPr>
          <w:sz w:val="28"/>
          <w:szCs w:val="28"/>
        </w:rPr>
        <w:t xml:space="preserve"> </w:t>
      </w:r>
      <w:r>
        <w:rPr>
          <w:sz w:val="28"/>
          <w:szCs w:val="28"/>
        </w:rPr>
        <w:t>и по настоящее время продолжаю находиться в распоряжении командира войсковой части №</w:t>
      </w:r>
    </w:p>
    <w:p>
      <w:pPr>
        <w:pStyle w:val="style0"/>
        <w:tabs>
          <w:tab w:leader="none" w:pos="9214" w:val="left"/>
        </w:tabs>
        <w:ind w:firstLine="709" w:left="0" w:right="-1"/>
        <w:jc w:val="both"/>
      </w:pPr>
      <w:r>
        <w:rPr>
          <w:sz w:val="28"/>
          <w:szCs w:val="28"/>
        </w:rPr>
        <w:t xml:space="preserve">С 01 января 2012 года обеспечивает финансирование войсковой части </w:t>
      </w:r>
      <w:r>
        <w:rPr>
          <w:sz w:val="28"/>
          <w:szCs w:val="28"/>
        </w:rPr>
        <w:t>№71609</w:t>
      </w:r>
      <w:r>
        <w:rPr>
          <w:sz w:val="28"/>
          <w:szCs w:val="28"/>
        </w:rPr>
        <w:t xml:space="preserve"> Единый расчетный центр Министерства обороны РФ на основании  Положения о ФКУ «ЕРЦ МО РФ», утвержденного Министром обороны РФ 21 октября 2011 года.</w:t>
      </w:r>
    </w:p>
    <w:p>
      <w:pPr>
        <w:pStyle w:val="style0"/>
        <w:tabs>
          <w:tab w:leader="none" w:pos="9214" w:val="left"/>
        </w:tabs>
        <w:spacing w:line="276" w:lineRule="auto"/>
        <w:ind w:firstLine="708" w:left="0" w:right="0"/>
        <w:jc w:val="both"/>
      </w:pPr>
      <w:r>
        <w:rPr>
          <w:color w:val="000000"/>
          <w:sz w:val="28"/>
          <w:szCs w:val="28"/>
        </w:rPr>
        <w:t>В соответствии с пунктом 248 «Руководства о финансовом обеспечении и особенностях бюджетного учета в Вооруженных Силах Российской Федерации», утвержденного приказом МО РФ от 07 мая 2008 года № 250дсп (в ред. приказа МО РФ от 5 августа 2011 года № 1333дсп), выплата ДД военнослужащим производится с 10 по 20 число каждого месяца за истекший месяц.</w:t>
      </w:r>
    </w:p>
    <w:p>
      <w:pPr>
        <w:pStyle w:val="style0"/>
        <w:tabs>
          <w:tab w:leader="none" w:pos="9214" w:val="left"/>
        </w:tabs>
        <w:ind w:firstLine="709" w:left="0" w:right="-1"/>
        <w:jc w:val="both"/>
      </w:pPr>
      <w:r>
        <w:rPr>
          <w:sz w:val="28"/>
          <w:szCs w:val="28"/>
        </w:rPr>
        <w:t xml:space="preserve">Согласно </w:t>
      </w:r>
      <w:r>
        <w:rPr>
          <w:b/>
          <w:sz w:val="28"/>
          <w:szCs w:val="28"/>
        </w:rPr>
        <w:t>Федеральному закону</w:t>
      </w:r>
      <w:r>
        <w:rPr>
          <w:sz w:val="28"/>
          <w:szCs w:val="28"/>
        </w:rPr>
        <w:t xml:space="preserve"> от 07.11.2011г. </w:t>
      </w:r>
      <w:r>
        <w:rPr>
          <w:b/>
          <w:sz w:val="28"/>
          <w:szCs w:val="28"/>
        </w:rPr>
        <w:t>№306-ФЗ</w:t>
      </w:r>
      <w:r>
        <w:rPr>
          <w:sz w:val="28"/>
          <w:szCs w:val="28"/>
        </w:rPr>
        <w:t xml:space="preserve"> «О денежном довольствии военнослужащих и предоставлении им отдельных выплат» денежное довольствие военнослужащих, проходящих военную службу по контракту, является основным средством их  материального  обеспечения  и стимулирования исполнения обязанностей военной службы.</w:t>
      </w:r>
      <w:r>
        <w:rPr>
          <w:rFonts w:ascii="Courier New" w:cs="Courier New" w:hAnsi="Courier New"/>
          <w:sz w:val="28"/>
          <w:szCs w:val="28"/>
        </w:rPr>
        <w:t xml:space="preserve"> </w:t>
      </w:r>
      <w:r>
        <w:rPr>
          <w:sz w:val="28"/>
          <w:szCs w:val="28"/>
        </w:rPr>
        <w:t xml:space="preserve">В период нахождения военнослужащего, проходящего военную службу по контракту, в распоряжении командира  (начальника)  ему   </w:t>
      </w:r>
      <w:r>
        <w:rPr>
          <w:b/>
          <w:sz w:val="28"/>
          <w:szCs w:val="28"/>
        </w:rPr>
        <w:t>выплачиваются оклад по воинскому  званию,  оклад  по  последней  занимаемой   воинской должности  и  ежемесячная  надбавка   за   выслугу   лет</w:t>
      </w:r>
      <w:r>
        <w:rPr>
          <w:sz w:val="28"/>
          <w:szCs w:val="28"/>
        </w:rPr>
        <w:t>.</w:t>
      </w:r>
    </w:p>
    <w:p>
      <w:pPr>
        <w:pStyle w:val="style0"/>
        <w:tabs>
          <w:tab w:leader="none" w:pos="9214" w:val="left"/>
        </w:tabs>
        <w:ind w:hanging="0" w:left="0" w:right="-1"/>
        <w:jc w:val="both"/>
      </w:pPr>
      <w:r>
        <w:rPr>
          <w:sz w:val="28"/>
          <w:szCs w:val="28"/>
        </w:rPr>
      </w:r>
    </w:p>
    <w:p>
      <w:pPr>
        <w:pStyle w:val="style0"/>
        <w:tabs>
          <w:tab w:leader="none" w:pos="9214" w:val="left"/>
        </w:tabs>
        <w:ind w:hanging="0" w:left="0" w:right="-1"/>
        <w:jc w:val="both"/>
      </w:pPr>
      <w:r>
        <w:rPr>
          <w:sz w:val="28"/>
          <w:szCs w:val="28"/>
        </w:rPr>
        <w:t xml:space="preserve">     </w:t>
      </w:r>
      <w:r>
        <w:rPr>
          <w:sz w:val="28"/>
          <w:szCs w:val="28"/>
        </w:rPr>
        <w:t xml:space="preserve">Согласно перечисленных норма права, расчет моего ежемесячного денежного довольствия приведен в  таблице №1: </w:t>
      </w:r>
    </w:p>
    <w:p>
      <w:pPr>
        <w:pStyle w:val="style0"/>
        <w:tabs>
          <w:tab w:leader="none" w:pos="9214" w:val="left"/>
        </w:tabs>
        <w:ind w:hanging="0" w:left="0" w:right="-1"/>
        <w:jc w:val="right"/>
      </w:pPr>
      <w:r>
        <w:rPr>
          <w:sz w:val="28"/>
          <w:szCs w:val="28"/>
        </w:rPr>
        <w:t>Таблица №1</w:t>
      </w:r>
    </w:p>
    <w:p>
      <w:pPr>
        <w:pStyle w:val="style0"/>
        <w:tabs>
          <w:tab w:leader="none" w:pos="9214" w:val="left"/>
        </w:tabs>
        <w:ind w:hanging="0" w:left="0" w:right="-1"/>
        <w:jc w:val="center"/>
      </w:pPr>
      <w:r>
        <w:rPr>
          <w:sz w:val="28"/>
          <w:szCs w:val="28"/>
        </w:rPr>
        <w:t>Расчет ежемесячного денежного довольствия</w:t>
      </w:r>
    </w:p>
    <w:p>
      <w:pPr>
        <w:pStyle w:val="style0"/>
        <w:tabs>
          <w:tab w:leader="none" w:pos="9214" w:val="left"/>
        </w:tabs>
        <w:ind w:hanging="0" w:left="0" w:right="-1"/>
        <w:jc w:val="center"/>
      </w:pPr>
      <w:r>
        <w:rPr>
          <w:sz w:val="28"/>
          <w:szCs w:val="28"/>
        </w:rPr>
      </w:r>
    </w:p>
    <w:p>
      <w:pPr>
        <w:pStyle w:val="style0"/>
        <w:spacing w:line="276" w:lineRule="auto"/>
        <w:ind w:firstLine="708" w:left="0" w:right="0"/>
        <w:jc w:val="both"/>
      </w:pPr>
      <w:r>
        <w:rPr>
          <w:color w:val="000000"/>
          <w:sz w:val="28"/>
          <w:szCs w:val="28"/>
        </w:rPr>
      </w:r>
    </w:p>
    <w:tbl>
      <w:tblPr>
        <w:jc w:val="left"/>
        <w:tblInd w:type="dxa" w:w="-5"/>
        <w:tblBorders>
          <w:top w:color="000000" w:space="0" w:sz="4" w:val="single"/>
          <w:left w:color="000000" w:space="0" w:sz="4" w:val="single"/>
          <w:bottom w:color="000000" w:space="0" w:sz="4" w:val="single"/>
          <w:insideH w:color="000000" w:space="0" w:sz="4" w:val="single"/>
          <w:right w:val="none"/>
          <w:insideV w:val="none"/>
        </w:tblBorders>
        <w:tblCellMar>
          <w:top w:type="dxa" w:w="0"/>
          <w:left w:type="dxa" w:w="103"/>
          <w:bottom w:type="dxa" w:w="0"/>
          <w:right w:type="dxa" w:w="108"/>
        </w:tblCellMar>
      </w:tblPr>
      <w:tblGrid>
        <w:gridCol w:w="5353"/>
        <w:gridCol w:w="2693"/>
        <w:gridCol w:w="1535"/>
      </w:tblGrid>
      <w:tr>
        <w:trPr>
          <w:trHeight w:hRule="atLeast" w:val="570"/>
          <w:cantSplit w:val="false"/>
        </w:trPr>
        <w:tc>
          <w:tcPr>
            <w:tcW w:type="dxa" w:w="5353"/>
            <w:tcBorders>
              <w:top w:color="000000" w:space="0" w:sz="4" w:val="single"/>
              <w:left w:color="000000" w:space="0" w:sz="4" w:val="single"/>
              <w:bottom w:color="000000" w:space="0" w:sz="4" w:val="single"/>
              <w:right w:val="none"/>
            </w:tcBorders>
            <w:shd w:fill="auto" w:val="clear"/>
            <w:tcMar>
              <w:left w:type="dxa" w:w="103"/>
            </w:tcMar>
            <w:vAlign w:val="center"/>
          </w:tcPr>
          <w:p>
            <w:pPr>
              <w:pStyle w:val="style0"/>
              <w:spacing w:line="276" w:lineRule="auto"/>
              <w:jc w:val="center"/>
            </w:pPr>
            <w:r>
              <w:rPr>
                <w:b/>
                <w:sz w:val="28"/>
                <w:szCs w:val="28"/>
              </w:rPr>
              <w:t>Состав денежного довольствия</w:t>
            </w:r>
          </w:p>
        </w:tc>
        <w:tc>
          <w:tcPr>
            <w:tcW w:type="dxa" w:w="2693"/>
            <w:tcBorders>
              <w:top w:color="000000" w:space="0" w:sz="4" w:val="single"/>
              <w:left w:color="000000" w:space="0" w:sz="4" w:val="single"/>
              <w:bottom w:color="000000" w:space="0" w:sz="4" w:val="single"/>
              <w:right w:val="none"/>
            </w:tcBorders>
            <w:shd w:fill="auto" w:val="clear"/>
            <w:tcMar>
              <w:left w:type="dxa" w:w="103"/>
            </w:tcMar>
            <w:vAlign w:val="center"/>
          </w:tcPr>
          <w:p>
            <w:pPr>
              <w:pStyle w:val="style0"/>
              <w:spacing w:line="276" w:lineRule="auto"/>
              <w:jc w:val="center"/>
            </w:pPr>
            <w:r>
              <w:rPr>
                <w:b/>
                <w:sz w:val="28"/>
                <w:szCs w:val="28"/>
              </w:rPr>
              <w:t>Расчет (руб., коп.)</w:t>
            </w:r>
          </w:p>
        </w:tc>
        <w:tc>
          <w:tcPr>
            <w:tcW w:type="dxa" w:w="1535"/>
            <w:tcBorders>
              <w:top w:color="000000" w:space="0" w:sz="4" w:val="single"/>
              <w:left w:color="000000" w:space="0" w:sz="4" w:val="single"/>
              <w:bottom w:color="000000" w:space="0" w:sz="4" w:val="single"/>
              <w:right w:color="000000" w:space="0" w:sz="4" w:val="single"/>
            </w:tcBorders>
            <w:shd w:fill="auto" w:val="clear"/>
            <w:tcMar>
              <w:left w:type="dxa" w:w="103"/>
            </w:tcMar>
            <w:vAlign w:val="center"/>
          </w:tcPr>
          <w:p>
            <w:pPr>
              <w:pStyle w:val="style0"/>
              <w:spacing w:line="276" w:lineRule="auto"/>
              <w:jc w:val="center"/>
            </w:pPr>
            <w:r>
              <w:rPr>
                <w:b/>
                <w:sz w:val="28"/>
                <w:szCs w:val="28"/>
              </w:rPr>
              <w:t>Сумма (руб., коп.)</w:t>
            </w:r>
          </w:p>
        </w:tc>
      </w:tr>
      <w:tr>
        <w:trPr>
          <w:cantSplit w:val="false"/>
        </w:trPr>
        <w:tc>
          <w:tcPr>
            <w:tcW w:type="dxa" w:w="5353"/>
            <w:tcBorders>
              <w:top w:color="000000" w:space="0" w:sz="4" w:val="single"/>
              <w:left w:color="000000" w:space="0" w:sz="4" w:val="single"/>
              <w:bottom w:color="000000" w:space="0" w:sz="4" w:val="single"/>
              <w:right w:val="none"/>
            </w:tcBorders>
            <w:shd w:fill="auto" w:val="clear"/>
            <w:tcMar>
              <w:left w:type="dxa" w:w="103"/>
            </w:tcMar>
          </w:tcPr>
          <w:p>
            <w:pPr>
              <w:pStyle w:val="style0"/>
              <w:spacing w:line="276" w:lineRule="auto"/>
              <w:jc w:val="both"/>
            </w:pPr>
            <w:r>
              <w:rPr>
                <w:sz w:val="28"/>
                <w:szCs w:val="28"/>
              </w:rPr>
              <w:t>Оклад по воинскому званию (ОВЗ)</w:t>
            </w:r>
          </w:p>
        </w:tc>
        <w:tc>
          <w:tcPr>
            <w:tcW w:type="dxa" w:w="2693"/>
            <w:tcBorders>
              <w:top w:color="000000" w:space="0" w:sz="4" w:val="single"/>
              <w:left w:color="000000" w:space="0" w:sz="4" w:val="single"/>
              <w:bottom w:color="000000" w:space="0" w:sz="4" w:val="single"/>
              <w:right w:val="none"/>
            </w:tcBorders>
            <w:shd w:fill="auto" w:val="clear"/>
            <w:tcMar>
              <w:left w:type="dxa" w:w="103"/>
            </w:tcMar>
          </w:tcPr>
          <w:p>
            <w:pPr>
              <w:pStyle w:val="style0"/>
              <w:spacing w:line="276" w:lineRule="auto"/>
              <w:jc w:val="both"/>
            </w:pPr>
            <w:r>
              <w:rPr>
                <w:sz w:val="28"/>
                <w:szCs w:val="28"/>
              </w:rPr>
              <w:t>«</w:t>
            </w:r>
            <w:r>
              <w:rPr>
                <w:sz w:val="28"/>
                <w:szCs w:val="28"/>
              </w:rPr>
              <w:t>майор</w:t>
            </w:r>
            <w:r>
              <w:rPr>
                <w:sz w:val="28"/>
                <w:szCs w:val="28"/>
              </w:rPr>
              <w:t>»</w:t>
            </w:r>
          </w:p>
        </w:tc>
        <w:tc>
          <w:tcPr>
            <w:tcW w:type="dxa" w:w="1535"/>
            <w:tcBorders>
              <w:top w:color="000000" w:space="0" w:sz="4" w:val="single"/>
              <w:left w:color="000000" w:space="0" w:sz="4" w:val="single"/>
              <w:bottom w:color="000000" w:space="0" w:sz="4" w:val="single"/>
              <w:right w:color="000000" w:space="0" w:sz="4" w:val="single"/>
            </w:tcBorders>
            <w:shd w:fill="auto" w:val="clear"/>
            <w:tcMar>
              <w:left w:type="dxa" w:w="103"/>
            </w:tcMar>
          </w:tcPr>
          <w:p>
            <w:pPr>
              <w:pStyle w:val="style0"/>
              <w:spacing w:line="276" w:lineRule="auto"/>
              <w:jc w:val="both"/>
            </w:pPr>
            <w:r>
              <w:rPr>
                <w:sz w:val="28"/>
                <w:szCs w:val="28"/>
              </w:rPr>
              <w:t>11 500</w:t>
            </w:r>
          </w:p>
        </w:tc>
      </w:tr>
      <w:tr>
        <w:trPr>
          <w:cantSplit w:val="false"/>
        </w:trPr>
        <w:tc>
          <w:tcPr>
            <w:tcW w:type="dxa" w:w="5353"/>
            <w:tcBorders>
              <w:top w:color="000000" w:space="0" w:sz="4" w:val="single"/>
              <w:left w:color="000000" w:space="0" w:sz="4" w:val="single"/>
              <w:bottom w:color="000000" w:space="0" w:sz="4" w:val="single"/>
              <w:right w:val="none"/>
            </w:tcBorders>
            <w:shd w:fill="auto" w:val="clear"/>
            <w:tcMar>
              <w:left w:type="dxa" w:w="103"/>
            </w:tcMar>
          </w:tcPr>
          <w:p>
            <w:pPr>
              <w:pStyle w:val="style0"/>
              <w:spacing w:line="276" w:lineRule="auto"/>
              <w:jc w:val="both"/>
            </w:pPr>
            <w:r>
              <w:rPr>
                <w:sz w:val="28"/>
                <w:szCs w:val="28"/>
              </w:rPr>
              <w:t>Оклад по воинской должности (ОВД)</w:t>
            </w:r>
          </w:p>
        </w:tc>
        <w:tc>
          <w:tcPr>
            <w:tcW w:type="dxa" w:w="2693"/>
            <w:tcBorders>
              <w:top w:color="000000" w:space="0" w:sz="4" w:val="single"/>
              <w:left w:color="000000" w:space="0" w:sz="4" w:val="single"/>
              <w:bottom w:color="000000" w:space="0" w:sz="4" w:val="single"/>
              <w:right w:val="none"/>
            </w:tcBorders>
            <w:shd w:fill="auto" w:val="clear"/>
            <w:tcMar>
              <w:left w:type="dxa" w:w="103"/>
            </w:tcMar>
          </w:tcPr>
          <w:p>
            <w:pPr>
              <w:pStyle w:val="style0"/>
              <w:spacing w:line="276" w:lineRule="auto"/>
              <w:jc w:val="both"/>
            </w:pPr>
            <w:r>
              <w:rPr>
                <w:sz w:val="28"/>
                <w:szCs w:val="28"/>
              </w:rPr>
              <w:t xml:space="preserve"> </w:t>
            </w:r>
            <w:r>
              <w:rPr>
                <w:sz w:val="28"/>
                <w:szCs w:val="28"/>
              </w:rPr>
              <w:t>контракт</w:t>
            </w:r>
          </w:p>
        </w:tc>
        <w:tc>
          <w:tcPr>
            <w:tcW w:type="dxa" w:w="1535"/>
            <w:tcBorders>
              <w:top w:color="000000" w:space="0" w:sz="4" w:val="single"/>
              <w:left w:color="000000" w:space="0" w:sz="4" w:val="single"/>
              <w:bottom w:color="000000" w:space="0" w:sz="4" w:val="single"/>
              <w:right w:color="000000" w:space="0" w:sz="4" w:val="single"/>
            </w:tcBorders>
            <w:shd w:fill="auto" w:val="clear"/>
            <w:tcMar>
              <w:left w:type="dxa" w:w="103"/>
            </w:tcMar>
          </w:tcPr>
          <w:p>
            <w:pPr>
              <w:pStyle w:val="style0"/>
              <w:spacing w:line="276" w:lineRule="auto"/>
              <w:jc w:val="both"/>
            </w:pPr>
            <w:r>
              <w:rPr>
                <w:sz w:val="28"/>
                <w:szCs w:val="28"/>
              </w:rPr>
              <w:t>23 000</w:t>
            </w:r>
          </w:p>
        </w:tc>
      </w:tr>
      <w:tr>
        <w:trPr>
          <w:cantSplit w:val="false"/>
        </w:trPr>
        <w:tc>
          <w:tcPr>
            <w:tcW w:type="dxa" w:w="5353"/>
            <w:tcBorders>
              <w:top w:color="000000" w:space="0" w:sz="4" w:val="single"/>
              <w:left w:color="000000" w:space="0" w:sz="4" w:val="single"/>
              <w:bottom w:color="000000" w:space="0" w:sz="4" w:val="single"/>
              <w:right w:val="none"/>
            </w:tcBorders>
            <w:shd w:fill="auto" w:val="clear"/>
            <w:tcMar>
              <w:left w:type="dxa" w:w="103"/>
            </w:tcMar>
          </w:tcPr>
          <w:p>
            <w:pPr>
              <w:pStyle w:val="style0"/>
              <w:spacing w:line="276" w:lineRule="auto"/>
              <w:jc w:val="both"/>
            </w:pPr>
            <w:r>
              <w:rPr>
                <w:sz w:val="28"/>
                <w:szCs w:val="28"/>
              </w:rPr>
              <w:t>Ежемесячная надбавка за выслугу лет (ЕНВЛ)</w:t>
            </w:r>
          </w:p>
        </w:tc>
        <w:tc>
          <w:tcPr>
            <w:tcW w:type="dxa" w:w="2693"/>
            <w:tcBorders>
              <w:top w:color="000000" w:space="0" w:sz="4" w:val="single"/>
              <w:left w:color="000000" w:space="0" w:sz="4" w:val="single"/>
              <w:bottom w:color="000000" w:space="0" w:sz="4" w:val="single"/>
              <w:right w:val="none"/>
            </w:tcBorders>
            <w:shd w:fill="auto" w:val="clear"/>
            <w:tcMar>
              <w:left w:type="dxa" w:w="103"/>
            </w:tcMar>
          </w:tcPr>
          <w:p>
            <w:pPr>
              <w:pStyle w:val="style0"/>
              <w:spacing w:line="276" w:lineRule="auto"/>
              <w:jc w:val="both"/>
            </w:pPr>
            <w:r>
              <w:rPr>
                <w:sz w:val="28"/>
                <w:szCs w:val="28"/>
              </w:rPr>
              <w:t xml:space="preserve">(ОВЗ + ОВД) х </w:t>
            </w:r>
            <w:r>
              <w:rPr>
                <w:sz w:val="28"/>
                <w:szCs w:val="28"/>
              </w:rPr>
              <w:t>25</w:t>
            </w:r>
            <w:r>
              <w:rPr>
                <w:sz w:val="28"/>
                <w:szCs w:val="28"/>
              </w:rPr>
              <w:t xml:space="preserve"> %</w:t>
            </w:r>
          </w:p>
        </w:tc>
        <w:tc>
          <w:tcPr>
            <w:tcW w:type="dxa" w:w="1535"/>
            <w:tcBorders>
              <w:top w:color="000000" w:space="0" w:sz="4" w:val="single"/>
              <w:left w:color="000000" w:space="0" w:sz="4" w:val="single"/>
              <w:bottom w:color="000000" w:space="0" w:sz="4" w:val="single"/>
              <w:right w:color="000000" w:space="0" w:sz="4" w:val="single"/>
            </w:tcBorders>
            <w:shd w:fill="auto" w:val="clear"/>
            <w:tcMar>
              <w:left w:type="dxa" w:w="103"/>
            </w:tcMar>
          </w:tcPr>
          <w:p>
            <w:pPr>
              <w:pStyle w:val="style0"/>
              <w:spacing w:line="276" w:lineRule="auto"/>
              <w:jc w:val="both"/>
            </w:pPr>
            <w:r>
              <w:rPr>
                <w:sz w:val="28"/>
                <w:szCs w:val="28"/>
              </w:rPr>
              <w:t>8 625</w:t>
            </w:r>
          </w:p>
        </w:tc>
      </w:tr>
      <w:tr>
        <w:trPr>
          <w:cantSplit w:val="false"/>
        </w:trPr>
        <w:tc>
          <w:tcPr>
            <w:tcW w:type="dxa" w:w="5353"/>
            <w:tcBorders>
              <w:top w:color="000000" w:space="0" w:sz="4" w:val="single"/>
              <w:left w:color="000000" w:space="0" w:sz="4" w:val="single"/>
              <w:bottom w:color="000000" w:space="0" w:sz="4" w:val="single"/>
              <w:right w:val="none"/>
            </w:tcBorders>
            <w:shd w:fill="auto" w:val="clear"/>
            <w:tcMar>
              <w:left w:type="dxa" w:w="103"/>
            </w:tcMar>
          </w:tcPr>
          <w:p>
            <w:pPr>
              <w:pStyle w:val="style0"/>
              <w:spacing w:line="276" w:lineRule="auto"/>
              <w:jc w:val="both"/>
            </w:pPr>
            <w:r>
              <w:rPr>
                <w:sz w:val="28"/>
                <w:szCs w:val="28"/>
              </w:rPr>
              <w:t>Сумма начисленная</w:t>
            </w:r>
          </w:p>
        </w:tc>
        <w:tc>
          <w:tcPr>
            <w:tcW w:type="dxa" w:w="2693"/>
            <w:tcBorders>
              <w:top w:color="000000" w:space="0" w:sz="4" w:val="single"/>
              <w:left w:color="000000" w:space="0" w:sz="4" w:val="single"/>
              <w:bottom w:color="000000" w:space="0" w:sz="4" w:val="single"/>
              <w:right w:val="none"/>
            </w:tcBorders>
            <w:shd w:fill="auto" w:val="clear"/>
            <w:tcMar>
              <w:left w:type="dxa" w:w="103"/>
            </w:tcMar>
          </w:tcPr>
          <w:p>
            <w:pPr>
              <w:pStyle w:val="style0"/>
              <w:spacing w:line="276" w:lineRule="auto"/>
              <w:jc w:val="both"/>
            </w:pPr>
            <w:r>
              <w:rPr>
                <w:sz w:val="28"/>
                <w:szCs w:val="28"/>
              </w:rPr>
              <w:t>1</w:t>
            </w:r>
            <w:r>
              <w:rPr>
                <w:sz w:val="28"/>
                <w:szCs w:val="28"/>
              </w:rPr>
              <w:t>15</w:t>
            </w:r>
            <w:r>
              <w:rPr>
                <w:sz w:val="28"/>
                <w:szCs w:val="28"/>
              </w:rPr>
              <w:t>00 + 2</w:t>
            </w:r>
            <w:r>
              <w:rPr>
                <w:sz w:val="28"/>
                <w:szCs w:val="28"/>
              </w:rPr>
              <w:t>3</w:t>
            </w:r>
            <w:r>
              <w:rPr>
                <w:sz w:val="28"/>
                <w:szCs w:val="28"/>
              </w:rPr>
              <w:t xml:space="preserve">000 + </w:t>
            </w:r>
            <w:r>
              <w:rPr>
                <w:sz w:val="28"/>
                <w:szCs w:val="28"/>
              </w:rPr>
              <w:t>8625</w:t>
            </w:r>
          </w:p>
        </w:tc>
        <w:tc>
          <w:tcPr>
            <w:tcW w:type="dxa" w:w="1535"/>
            <w:tcBorders>
              <w:top w:color="000000" w:space="0" w:sz="4" w:val="single"/>
              <w:left w:color="000000" w:space="0" w:sz="4" w:val="single"/>
              <w:bottom w:color="000000" w:space="0" w:sz="4" w:val="single"/>
              <w:right w:color="000000" w:space="0" w:sz="4" w:val="single"/>
            </w:tcBorders>
            <w:shd w:fill="auto" w:val="clear"/>
            <w:tcMar>
              <w:left w:type="dxa" w:w="103"/>
            </w:tcMar>
          </w:tcPr>
          <w:p>
            <w:pPr>
              <w:pStyle w:val="style0"/>
              <w:spacing w:line="276" w:lineRule="auto"/>
              <w:jc w:val="both"/>
            </w:pPr>
            <w:r>
              <w:rPr>
                <w:sz w:val="28"/>
                <w:szCs w:val="28"/>
              </w:rPr>
              <w:t>43 125</w:t>
            </w:r>
          </w:p>
        </w:tc>
      </w:tr>
      <w:tr>
        <w:trPr>
          <w:cantSplit w:val="false"/>
        </w:trPr>
        <w:tc>
          <w:tcPr>
            <w:tcW w:type="dxa" w:w="5353"/>
            <w:tcBorders>
              <w:top w:color="000000" w:space="0" w:sz="4" w:val="single"/>
              <w:left w:color="000000" w:space="0" w:sz="4" w:val="single"/>
              <w:bottom w:color="000000" w:space="0" w:sz="4" w:val="single"/>
              <w:right w:val="none"/>
            </w:tcBorders>
            <w:shd w:fill="auto" w:val="clear"/>
            <w:tcMar>
              <w:left w:type="dxa" w:w="103"/>
            </w:tcMar>
          </w:tcPr>
          <w:p>
            <w:pPr>
              <w:pStyle w:val="style0"/>
              <w:spacing w:line="276" w:lineRule="auto"/>
              <w:jc w:val="both"/>
            </w:pPr>
            <w:r>
              <w:rPr>
                <w:sz w:val="28"/>
                <w:szCs w:val="28"/>
              </w:rPr>
              <w:t>Налог на доходы физических лиц</w:t>
            </w:r>
          </w:p>
        </w:tc>
        <w:tc>
          <w:tcPr>
            <w:tcW w:type="dxa" w:w="2693"/>
            <w:tcBorders>
              <w:top w:color="000000" w:space="0" w:sz="4" w:val="single"/>
              <w:left w:color="000000" w:space="0" w:sz="4" w:val="single"/>
              <w:bottom w:color="000000" w:space="0" w:sz="4" w:val="single"/>
              <w:right w:val="none"/>
            </w:tcBorders>
            <w:shd w:fill="auto" w:val="clear"/>
            <w:tcMar>
              <w:left w:type="dxa" w:w="103"/>
            </w:tcMar>
          </w:tcPr>
          <w:p>
            <w:pPr>
              <w:pStyle w:val="style0"/>
              <w:spacing w:line="276" w:lineRule="auto"/>
              <w:jc w:val="both"/>
            </w:pPr>
            <w:r>
              <w:rPr>
                <w:sz w:val="28"/>
                <w:szCs w:val="28"/>
              </w:rPr>
              <w:t xml:space="preserve"> </w:t>
            </w:r>
            <w:r>
              <w:rPr>
                <w:sz w:val="28"/>
                <w:szCs w:val="28"/>
              </w:rPr>
              <w:t>13 %</w:t>
            </w:r>
          </w:p>
        </w:tc>
        <w:tc>
          <w:tcPr>
            <w:tcW w:type="dxa" w:w="1535"/>
            <w:tcBorders>
              <w:top w:color="000000" w:space="0" w:sz="4" w:val="single"/>
              <w:left w:color="000000" w:space="0" w:sz="4" w:val="single"/>
              <w:bottom w:color="000000" w:space="0" w:sz="4" w:val="single"/>
              <w:right w:color="000000" w:space="0" w:sz="4" w:val="single"/>
            </w:tcBorders>
            <w:shd w:fill="auto" w:val="clear"/>
            <w:tcMar>
              <w:left w:type="dxa" w:w="103"/>
            </w:tcMar>
          </w:tcPr>
          <w:p>
            <w:pPr>
              <w:pStyle w:val="style0"/>
              <w:spacing w:line="276" w:lineRule="auto"/>
              <w:jc w:val="both"/>
            </w:pPr>
            <w:r>
              <w:rPr>
                <w:sz w:val="28"/>
                <w:szCs w:val="28"/>
              </w:rPr>
              <w:t>5360</w:t>
            </w:r>
          </w:p>
        </w:tc>
      </w:tr>
      <w:tr>
        <w:trPr>
          <w:cantSplit w:val="false"/>
        </w:trPr>
        <w:tc>
          <w:tcPr>
            <w:tcW w:type="dxa" w:w="5353"/>
            <w:tcBorders>
              <w:top w:color="000000" w:space="0" w:sz="4" w:val="single"/>
              <w:left w:color="000000" w:space="0" w:sz="4" w:val="single"/>
              <w:bottom w:color="000000" w:space="0" w:sz="4" w:val="single"/>
              <w:right w:val="none"/>
            </w:tcBorders>
            <w:shd w:fill="auto" w:val="clear"/>
            <w:tcMar>
              <w:left w:type="dxa" w:w="103"/>
            </w:tcMar>
          </w:tcPr>
          <w:p>
            <w:pPr>
              <w:pStyle w:val="style0"/>
              <w:spacing w:line="276" w:lineRule="auto"/>
              <w:jc w:val="both"/>
            </w:pPr>
            <w:r>
              <w:rPr>
                <w:sz w:val="28"/>
                <w:szCs w:val="28"/>
              </w:rPr>
              <w:t>Сумма к выдаче на руки</w:t>
            </w:r>
          </w:p>
        </w:tc>
        <w:tc>
          <w:tcPr>
            <w:tcW w:type="dxa" w:w="2693"/>
            <w:tcBorders>
              <w:top w:color="000000" w:space="0" w:sz="4" w:val="single"/>
              <w:left w:color="000000" w:space="0" w:sz="4" w:val="single"/>
              <w:bottom w:color="000000" w:space="0" w:sz="4" w:val="single"/>
              <w:right w:val="none"/>
            </w:tcBorders>
            <w:shd w:fill="auto" w:val="clear"/>
            <w:tcMar>
              <w:left w:type="dxa" w:w="103"/>
            </w:tcMar>
          </w:tcPr>
          <w:p>
            <w:pPr>
              <w:pStyle w:val="style0"/>
              <w:spacing w:line="276" w:lineRule="auto"/>
              <w:jc w:val="both"/>
            </w:pPr>
            <w:r>
              <w:rPr>
                <w:sz w:val="28"/>
                <w:szCs w:val="28"/>
              </w:rPr>
              <w:t>43 125-5 360</w:t>
            </w:r>
          </w:p>
        </w:tc>
        <w:tc>
          <w:tcPr>
            <w:tcW w:type="dxa" w:w="1535"/>
            <w:tcBorders>
              <w:top w:color="000000" w:space="0" w:sz="4" w:val="single"/>
              <w:left w:color="000000" w:space="0" w:sz="4" w:val="single"/>
              <w:bottom w:color="000000" w:space="0" w:sz="4" w:val="single"/>
              <w:right w:color="000000" w:space="0" w:sz="4" w:val="single"/>
            </w:tcBorders>
            <w:shd w:fill="auto" w:val="clear"/>
            <w:tcMar>
              <w:left w:type="dxa" w:w="103"/>
            </w:tcMar>
          </w:tcPr>
          <w:p>
            <w:pPr>
              <w:pStyle w:val="style0"/>
              <w:spacing w:line="276" w:lineRule="auto"/>
              <w:jc w:val="both"/>
            </w:pPr>
            <w:r>
              <w:rPr>
                <w:b/>
                <w:sz w:val="28"/>
                <w:szCs w:val="28"/>
              </w:rPr>
              <w:t>37765</w:t>
            </w:r>
          </w:p>
        </w:tc>
      </w:tr>
    </w:tbl>
    <w:p>
      <w:pPr>
        <w:pStyle w:val="style0"/>
        <w:spacing w:line="276" w:lineRule="auto"/>
        <w:ind w:firstLine="709" w:left="0" w:right="0"/>
        <w:jc w:val="both"/>
      </w:pPr>
      <w:r>
        <w:rPr>
          <w:sz w:val="28"/>
          <w:szCs w:val="28"/>
        </w:rPr>
      </w:r>
    </w:p>
    <w:p>
      <w:pPr>
        <w:pStyle w:val="style0"/>
        <w:spacing w:line="276" w:lineRule="auto"/>
        <w:ind w:firstLine="851" w:left="0" w:right="0"/>
        <w:jc w:val="both"/>
      </w:pPr>
      <w:r>
        <w:rPr>
          <w:sz w:val="28"/>
          <w:szCs w:val="28"/>
        </w:rPr>
        <w:t>В соответствии с Федеральным законом от 07.11.2011 года № 306-ФЗ, моё ежемесячное ДД за вычетом налога составляет 37 765</w:t>
      </w:r>
      <w:r>
        <w:rPr>
          <w:b/>
          <w:sz w:val="28"/>
          <w:szCs w:val="28"/>
        </w:rPr>
        <w:t xml:space="preserve"> рублей 00 копеек</w:t>
      </w:r>
      <w:r>
        <w:rPr>
          <w:sz w:val="28"/>
          <w:szCs w:val="28"/>
        </w:rPr>
        <w:t xml:space="preserve">. Однако ДД за ноябрь-декабрь 2012 года и январь-февраль 2013 года, мне было выплачено не в полном объеме (таблица №2). </w:t>
      </w:r>
    </w:p>
    <w:p>
      <w:pPr>
        <w:pStyle w:val="style0"/>
        <w:ind w:firstLine="851" w:left="0" w:right="0"/>
        <w:jc w:val="right"/>
      </w:pPr>
      <w:r>
        <w:rPr>
          <w:sz w:val="28"/>
          <w:szCs w:val="28"/>
        </w:rPr>
        <w:t>Таблица № 2</w:t>
      </w:r>
    </w:p>
    <w:p>
      <w:pPr>
        <w:pStyle w:val="style0"/>
        <w:ind w:firstLine="851" w:left="0" w:right="0"/>
        <w:jc w:val="center"/>
      </w:pPr>
      <w:r>
        <w:rPr>
          <w:b/>
          <w:sz w:val="28"/>
          <w:szCs w:val="28"/>
        </w:rPr>
        <w:t>Расчет сумм недополученного денежного довольствия за ноябрь-декабрь 2012 года и январь</w:t>
      </w:r>
      <w:r>
        <w:rPr>
          <w:b/>
          <w:sz w:val="28"/>
          <w:szCs w:val="28"/>
        </w:rPr>
        <w:t>-февраль</w:t>
      </w:r>
      <w:r>
        <w:rPr>
          <w:b/>
          <w:sz w:val="28"/>
          <w:szCs w:val="28"/>
        </w:rPr>
        <w:t xml:space="preserve"> 2013 года.</w:t>
      </w:r>
    </w:p>
    <w:tbl>
      <w:tblPr>
        <w:jc w:val="left"/>
        <w:tblInd w:type="dxa" w:w="-5"/>
        <w:tblBorders>
          <w:top w:color="000000" w:space="0" w:sz="4" w:val="single"/>
          <w:left w:color="000000" w:space="0" w:sz="4" w:val="single"/>
          <w:bottom w:color="000000" w:space="0" w:sz="4" w:val="single"/>
          <w:insideH w:color="000000" w:space="0" w:sz="4" w:val="single"/>
          <w:right w:val="none"/>
          <w:insideV w:val="none"/>
        </w:tblBorders>
        <w:tblCellMar>
          <w:top w:type="dxa" w:w="0"/>
          <w:left w:type="dxa" w:w="103"/>
          <w:bottom w:type="dxa" w:w="0"/>
          <w:right w:type="dxa" w:w="108"/>
        </w:tblCellMar>
      </w:tblPr>
      <w:tblGrid>
        <w:gridCol w:w="2392"/>
        <w:gridCol w:w="2393"/>
        <w:gridCol w:w="2393"/>
        <w:gridCol w:w="2403"/>
      </w:tblGrid>
      <w:tr>
        <w:trPr>
          <w:cantSplit w:val="false"/>
        </w:trPr>
        <w:tc>
          <w:tcPr>
            <w:tcW w:type="dxa" w:w="2392"/>
            <w:tcBorders>
              <w:top w:color="000000" w:space="0" w:sz="4" w:val="single"/>
              <w:left w:color="000000" w:space="0" w:sz="4" w:val="single"/>
              <w:bottom w:color="000000" w:space="0" w:sz="4" w:val="single"/>
              <w:right w:val="none"/>
            </w:tcBorders>
            <w:shd w:fill="auto" w:val="clear"/>
            <w:tcMar>
              <w:left w:type="dxa" w:w="103"/>
            </w:tcMar>
          </w:tcPr>
          <w:p>
            <w:pPr>
              <w:pStyle w:val="style0"/>
              <w:jc w:val="both"/>
            </w:pPr>
            <w:r>
              <w:rPr>
                <w:sz w:val="28"/>
                <w:szCs w:val="28"/>
              </w:rPr>
              <w:t>месяц</w:t>
            </w:r>
          </w:p>
        </w:tc>
        <w:tc>
          <w:tcPr>
            <w:tcW w:type="dxa" w:w="2393"/>
            <w:tcBorders>
              <w:top w:color="000000" w:space="0" w:sz="4" w:val="single"/>
              <w:left w:color="000000" w:space="0" w:sz="4" w:val="single"/>
              <w:bottom w:color="000000" w:space="0" w:sz="4" w:val="single"/>
              <w:right w:val="none"/>
            </w:tcBorders>
            <w:shd w:fill="auto" w:val="clear"/>
            <w:tcMar>
              <w:left w:type="dxa" w:w="103"/>
            </w:tcMar>
          </w:tcPr>
          <w:p>
            <w:pPr>
              <w:pStyle w:val="style0"/>
              <w:jc w:val="both"/>
            </w:pPr>
            <w:r>
              <w:rPr>
                <w:sz w:val="28"/>
                <w:szCs w:val="28"/>
              </w:rPr>
              <w:t>положенная сумма к выдаче на руки, руб.</w:t>
            </w:r>
          </w:p>
        </w:tc>
        <w:tc>
          <w:tcPr>
            <w:tcW w:type="dxa" w:w="2393"/>
            <w:tcBorders>
              <w:top w:color="000000" w:space="0" w:sz="4" w:val="single"/>
              <w:left w:color="000000" w:space="0" w:sz="4" w:val="single"/>
              <w:bottom w:color="000000" w:space="0" w:sz="4" w:val="single"/>
              <w:right w:val="none"/>
            </w:tcBorders>
            <w:shd w:fill="auto" w:val="clear"/>
            <w:tcMar>
              <w:left w:type="dxa" w:w="103"/>
            </w:tcMar>
          </w:tcPr>
          <w:p>
            <w:pPr>
              <w:pStyle w:val="style0"/>
              <w:jc w:val="both"/>
            </w:pPr>
            <w:r>
              <w:rPr>
                <w:sz w:val="28"/>
                <w:szCs w:val="28"/>
              </w:rPr>
              <w:t>Фактически выплачено, руб.</w:t>
            </w:r>
          </w:p>
        </w:tc>
        <w:tc>
          <w:tcPr>
            <w:tcW w:type="dxa" w:w="2403"/>
            <w:tcBorders>
              <w:top w:color="000000" w:space="0" w:sz="4" w:val="single"/>
              <w:left w:color="000000" w:space="0" w:sz="4" w:val="single"/>
              <w:bottom w:color="000000" w:space="0" w:sz="4" w:val="single"/>
              <w:right w:color="000000" w:space="0" w:sz="4" w:val="single"/>
            </w:tcBorders>
            <w:shd w:fill="auto" w:val="clear"/>
            <w:tcMar>
              <w:left w:type="dxa" w:w="103"/>
            </w:tcMar>
          </w:tcPr>
          <w:p>
            <w:pPr>
              <w:pStyle w:val="style0"/>
              <w:jc w:val="both"/>
            </w:pPr>
            <w:r>
              <w:rPr>
                <w:sz w:val="28"/>
                <w:szCs w:val="28"/>
              </w:rPr>
              <w:t>Сумма недоплаты, руб.</w:t>
            </w:r>
          </w:p>
        </w:tc>
      </w:tr>
      <w:tr>
        <w:trPr>
          <w:cantSplit w:val="false"/>
        </w:trPr>
        <w:tc>
          <w:tcPr>
            <w:tcW w:type="dxa" w:w="2392"/>
            <w:tcBorders>
              <w:top w:color="000000" w:space="0" w:sz="4" w:val="single"/>
              <w:left w:color="000000" w:space="0" w:sz="4" w:val="single"/>
              <w:bottom w:color="000000" w:space="0" w:sz="4" w:val="single"/>
              <w:right w:val="none"/>
            </w:tcBorders>
            <w:shd w:fill="auto" w:val="clear"/>
            <w:tcMar>
              <w:left w:type="dxa" w:w="103"/>
            </w:tcMar>
          </w:tcPr>
          <w:p>
            <w:pPr>
              <w:pStyle w:val="style0"/>
            </w:pPr>
            <w:r>
              <w:rPr>
                <w:sz w:val="28"/>
                <w:szCs w:val="28"/>
              </w:rPr>
              <w:t>За ноябрь 2012 года</w:t>
            </w:r>
          </w:p>
        </w:tc>
        <w:tc>
          <w:tcPr>
            <w:tcW w:type="dxa" w:w="2393"/>
            <w:tcBorders>
              <w:top w:color="000000" w:space="0" w:sz="4" w:val="single"/>
              <w:left w:color="000000" w:space="0" w:sz="4" w:val="single"/>
              <w:bottom w:color="000000" w:space="0" w:sz="4" w:val="single"/>
              <w:right w:val="none"/>
            </w:tcBorders>
            <w:shd w:fill="auto" w:val="clear"/>
            <w:tcMar>
              <w:left w:type="dxa" w:w="103"/>
            </w:tcMar>
          </w:tcPr>
          <w:p>
            <w:pPr>
              <w:pStyle w:val="style0"/>
              <w:jc w:val="right"/>
            </w:pPr>
            <w:r>
              <w:rPr>
                <w:sz w:val="28"/>
                <w:szCs w:val="28"/>
              </w:rPr>
              <w:t>37765,00</w:t>
            </w:r>
          </w:p>
        </w:tc>
        <w:tc>
          <w:tcPr>
            <w:tcW w:type="dxa" w:w="2393"/>
            <w:tcBorders>
              <w:top w:color="000000" w:space="0" w:sz="4" w:val="single"/>
              <w:left w:color="000000" w:space="0" w:sz="4" w:val="single"/>
              <w:bottom w:color="000000" w:space="0" w:sz="4" w:val="single"/>
              <w:right w:val="none"/>
            </w:tcBorders>
            <w:shd w:fill="auto" w:val="clear"/>
            <w:tcMar>
              <w:left w:type="dxa" w:w="103"/>
            </w:tcMar>
          </w:tcPr>
          <w:p>
            <w:pPr>
              <w:pStyle w:val="style0"/>
              <w:jc w:val="right"/>
            </w:pPr>
            <w:r>
              <w:rPr>
                <w:sz w:val="28"/>
                <w:szCs w:val="28"/>
              </w:rPr>
              <w:t>18792,00</w:t>
            </w:r>
          </w:p>
        </w:tc>
        <w:tc>
          <w:tcPr>
            <w:tcW w:type="dxa" w:w="2403"/>
            <w:tcBorders>
              <w:top w:color="000000" w:space="0" w:sz="4" w:val="single"/>
              <w:left w:color="000000" w:space="0" w:sz="4" w:val="single"/>
              <w:bottom w:color="000000" w:space="0" w:sz="4" w:val="single"/>
              <w:right w:color="000000" w:space="0" w:sz="4" w:val="single"/>
            </w:tcBorders>
            <w:shd w:fill="auto" w:val="clear"/>
            <w:tcMar>
              <w:left w:type="dxa" w:w="103"/>
            </w:tcMar>
          </w:tcPr>
          <w:p>
            <w:pPr>
              <w:pStyle w:val="style0"/>
              <w:jc w:val="right"/>
            </w:pPr>
            <w:r>
              <w:rPr>
                <w:sz w:val="28"/>
                <w:szCs w:val="28"/>
              </w:rPr>
              <w:t>18973,0</w:t>
            </w:r>
            <w:r>
              <w:rPr>
                <w:sz w:val="28"/>
                <w:szCs w:val="28"/>
              </w:rPr>
              <w:t>0</w:t>
            </w:r>
          </w:p>
        </w:tc>
      </w:tr>
      <w:tr>
        <w:trPr>
          <w:cantSplit w:val="false"/>
        </w:trPr>
        <w:tc>
          <w:tcPr>
            <w:tcW w:type="dxa" w:w="2392"/>
            <w:tcBorders>
              <w:top w:color="000000" w:space="0" w:sz="4" w:val="single"/>
              <w:left w:color="000000" w:space="0" w:sz="4" w:val="single"/>
              <w:bottom w:color="000000" w:space="0" w:sz="4" w:val="single"/>
              <w:right w:val="none"/>
            </w:tcBorders>
            <w:shd w:fill="auto" w:val="clear"/>
            <w:tcMar>
              <w:left w:type="dxa" w:w="103"/>
            </w:tcMar>
          </w:tcPr>
          <w:p>
            <w:pPr>
              <w:pStyle w:val="style0"/>
            </w:pPr>
            <w:r>
              <w:rPr>
                <w:sz w:val="28"/>
                <w:szCs w:val="28"/>
              </w:rPr>
              <w:t>За декабрь 2012 года</w:t>
            </w:r>
          </w:p>
        </w:tc>
        <w:tc>
          <w:tcPr>
            <w:tcW w:type="dxa" w:w="2393"/>
            <w:tcBorders>
              <w:top w:color="000000" w:space="0" w:sz="4" w:val="single"/>
              <w:left w:color="000000" w:space="0" w:sz="4" w:val="single"/>
              <w:bottom w:color="000000" w:space="0" w:sz="4" w:val="single"/>
              <w:right w:val="none"/>
            </w:tcBorders>
            <w:shd w:fill="auto" w:val="clear"/>
            <w:tcMar>
              <w:left w:type="dxa" w:w="103"/>
            </w:tcMar>
          </w:tcPr>
          <w:p>
            <w:pPr>
              <w:pStyle w:val="style0"/>
              <w:jc w:val="right"/>
            </w:pPr>
            <w:r>
              <w:rPr>
                <w:sz w:val="28"/>
                <w:szCs w:val="28"/>
              </w:rPr>
              <w:t>37765,00</w:t>
            </w:r>
          </w:p>
        </w:tc>
        <w:tc>
          <w:tcPr>
            <w:tcW w:type="dxa" w:w="2393"/>
            <w:tcBorders>
              <w:top w:color="000000" w:space="0" w:sz="4" w:val="single"/>
              <w:left w:color="000000" w:space="0" w:sz="4" w:val="single"/>
              <w:bottom w:color="000000" w:space="0" w:sz="4" w:val="single"/>
              <w:right w:val="none"/>
            </w:tcBorders>
            <w:shd w:fill="auto" w:val="clear"/>
            <w:tcMar>
              <w:left w:type="dxa" w:w="103"/>
            </w:tcMar>
          </w:tcPr>
          <w:p>
            <w:pPr>
              <w:pStyle w:val="style0"/>
              <w:jc w:val="right"/>
            </w:pPr>
            <w:r>
              <w:rPr>
                <w:sz w:val="28"/>
                <w:szCs w:val="28"/>
              </w:rPr>
              <w:t>18793,00</w:t>
            </w:r>
          </w:p>
        </w:tc>
        <w:tc>
          <w:tcPr>
            <w:tcW w:type="dxa" w:w="2403"/>
            <w:tcBorders>
              <w:top w:color="000000" w:space="0" w:sz="4" w:val="single"/>
              <w:left w:color="000000" w:space="0" w:sz="4" w:val="single"/>
              <w:bottom w:color="000000" w:space="0" w:sz="4" w:val="single"/>
              <w:right w:color="000000" w:space="0" w:sz="4" w:val="single"/>
            </w:tcBorders>
            <w:shd w:fill="auto" w:val="clear"/>
            <w:tcMar>
              <w:left w:type="dxa" w:w="103"/>
            </w:tcMar>
          </w:tcPr>
          <w:p>
            <w:pPr>
              <w:pStyle w:val="style0"/>
              <w:jc w:val="right"/>
            </w:pPr>
            <w:r>
              <w:rPr>
                <w:sz w:val="28"/>
                <w:szCs w:val="28"/>
              </w:rPr>
              <w:t>18972,00</w:t>
            </w:r>
          </w:p>
        </w:tc>
      </w:tr>
      <w:tr>
        <w:trPr>
          <w:cantSplit w:val="false"/>
        </w:trPr>
        <w:tc>
          <w:tcPr>
            <w:tcW w:type="dxa" w:w="2392"/>
            <w:tcBorders>
              <w:top w:color="000000" w:space="0" w:sz="4" w:val="single"/>
              <w:left w:color="000000" w:space="0" w:sz="4" w:val="single"/>
              <w:bottom w:color="000000" w:space="0" w:sz="4" w:val="single"/>
              <w:right w:val="none"/>
            </w:tcBorders>
            <w:shd w:fill="auto" w:val="clear"/>
            <w:tcMar>
              <w:left w:type="dxa" w:w="103"/>
            </w:tcMar>
          </w:tcPr>
          <w:p>
            <w:pPr>
              <w:pStyle w:val="style0"/>
            </w:pPr>
            <w:r>
              <w:rPr>
                <w:sz w:val="28"/>
                <w:szCs w:val="28"/>
              </w:rPr>
              <w:t>За январь 2013 года</w:t>
            </w:r>
          </w:p>
        </w:tc>
        <w:tc>
          <w:tcPr>
            <w:tcW w:type="dxa" w:w="2393"/>
            <w:tcBorders>
              <w:top w:color="000000" w:space="0" w:sz="4" w:val="single"/>
              <w:left w:color="000000" w:space="0" w:sz="4" w:val="single"/>
              <w:bottom w:color="000000" w:space="0" w:sz="4" w:val="single"/>
              <w:right w:val="none"/>
            </w:tcBorders>
            <w:shd w:fill="auto" w:val="clear"/>
            <w:tcMar>
              <w:left w:type="dxa" w:w="103"/>
            </w:tcMar>
          </w:tcPr>
          <w:p>
            <w:pPr>
              <w:pStyle w:val="style0"/>
              <w:jc w:val="right"/>
            </w:pPr>
            <w:r>
              <w:rPr>
                <w:sz w:val="28"/>
                <w:szCs w:val="28"/>
              </w:rPr>
              <w:t>37765,00</w:t>
            </w:r>
          </w:p>
        </w:tc>
        <w:tc>
          <w:tcPr>
            <w:tcW w:type="dxa" w:w="2393"/>
            <w:tcBorders>
              <w:top w:color="000000" w:space="0" w:sz="4" w:val="single"/>
              <w:left w:color="000000" w:space="0" w:sz="4" w:val="single"/>
              <w:bottom w:color="000000" w:space="0" w:sz="4" w:val="single"/>
              <w:right w:val="none"/>
            </w:tcBorders>
            <w:shd w:fill="auto" w:val="clear"/>
            <w:tcMar>
              <w:left w:type="dxa" w:w="103"/>
            </w:tcMar>
          </w:tcPr>
          <w:p>
            <w:pPr>
              <w:pStyle w:val="style0"/>
              <w:jc w:val="right"/>
            </w:pPr>
            <w:r>
              <w:rPr>
                <w:sz w:val="28"/>
                <w:szCs w:val="28"/>
              </w:rPr>
              <w:t>26478,0</w:t>
            </w:r>
            <w:r>
              <w:rPr>
                <w:sz w:val="28"/>
                <w:szCs w:val="28"/>
              </w:rPr>
              <w:t>0</w:t>
            </w:r>
          </w:p>
        </w:tc>
        <w:tc>
          <w:tcPr>
            <w:tcW w:type="dxa" w:w="2403"/>
            <w:tcBorders>
              <w:top w:color="000000" w:space="0" w:sz="4" w:val="single"/>
              <w:left w:color="000000" w:space="0" w:sz="4" w:val="single"/>
              <w:bottom w:color="000000" w:space="0" w:sz="4" w:val="single"/>
              <w:right w:color="000000" w:space="0" w:sz="4" w:val="single"/>
            </w:tcBorders>
            <w:shd w:fill="auto" w:val="clear"/>
            <w:tcMar>
              <w:left w:type="dxa" w:w="103"/>
            </w:tcMar>
          </w:tcPr>
          <w:p>
            <w:pPr>
              <w:pStyle w:val="style0"/>
              <w:jc w:val="right"/>
            </w:pPr>
            <w:r>
              <w:rPr>
                <w:sz w:val="28"/>
                <w:szCs w:val="28"/>
              </w:rPr>
              <w:t>11287,00</w:t>
            </w:r>
          </w:p>
        </w:tc>
      </w:tr>
      <w:tr>
        <w:trPr>
          <w:cantSplit w:val="false"/>
        </w:trPr>
        <w:tc>
          <w:tcPr>
            <w:tcW w:type="dxa" w:w="2392"/>
            <w:tcBorders>
              <w:top w:color="000000" w:space="0" w:sz="4" w:val="single"/>
              <w:left w:color="000000" w:space="0" w:sz="4" w:val="single"/>
              <w:bottom w:color="000000" w:space="0" w:sz="4" w:val="single"/>
              <w:right w:val="none"/>
            </w:tcBorders>
            <w:shd w:fill="auto" w:val="clear"/>
            <w:tcMar>
              <w:left w:type="dxa" w:w="103"/>
            </w:tcMar>
          </w:tcPr>
          <w:p>
            <w:pPr>
              <w:pStyle w:val="style0"/>
            </w:pPr>
            <w:r>
              <w:rPr>
                <w:sz w:val="28"/>
                <w:szCs w:val="28"/>
              </w:rPr>
              <w:t>За февраль 2013 года</w:t>
            </w:r>
          </w:p>
        </w:tc>
        <w:tc>
          <w:tcPr>
            <w:tcW w:type="dxa" w:w="2393"/>
            <w:tcBorders>
              <w:top w:color="000000" w:space="0" w:sz="4" w:val="single"/>
              <w:left w:color="000000" w:space="0" w:sz="4" w:val="single"/>
              <w:bottom w:color="000000" w:space="0" w:sz="4" w:val="single"/>
              <w:right w:val="none"/>
            </w:tcBorders>
            <w:shd w:fill="auto" w:val="clear"/>
            <w:tcMar>
              <w:left w:type="dxa" w:w="103"/>
            </w:tcMar>
          </w:tcPr>
          <w:p>
            <w:pPr>
              <w:pStyle w:val="style0"/>
              <w:jc w:val="right"/>
            </w:pPr>
            <w:r>
              <w:rPr>
                <w:sz w:val="28"/>
                <w:szCs w:val="28"/>
              </w:rPr>
              <w:t>37765,00</w:t>
            </w:r>
          </w:p>
        </w:tc>
        <w:tc>
          <w:tcPr>
            <w:tcW w:type="dxa" w:w="2393"/>
            <w:tcBorders>
              <w:top w:color="000000" w:space="0" w:sz="4" w:val="single"/>
              <w:left w:color="000000" w:space="0" w:sz="4" w:val="single"/>
              <w:bottom w:color="000000" w:space="0" w:sz="4" w:val="single"/>
              <w:right w:val="none"/>
            </w:tcBorders>
            <w:shd w:fill="auto" w:val="clear"/>
            <w:tcMar>
              <w:left w:type="dxa" w:w="103"/>
            </w:tcMar>
          </w:tcPr>
          <w:p>
            <w:pPr>
              <w:pStyle w:val="style0"/>
              <w:jc w:val="right"/>
            </w:pPr>
            <w:r>
              <w:rPr>
                <w:sz w:val="28"/>
                <w:szCs w:val="28"/>
              </w:rPr>
              <w:t>26787,</w:t>
            </w:r>
            <w:r>
              <w:rPr>
                <w:sz w:val="28"/>
                <w:szCs w:val="28"/>
              </w:rPr>
              <w:t>00</w:t>
            </w:r>
          </w:p>
        </w:tc>
        <w:tc>
          <w:tcPr>
            <w:tcW w:type="dxa" w:w="2403"/>
            <w:tcBorders>
              <w:top w:color="000000" w:space="0" w:sz="4" w:val="single"/>
              <w:left w:color="000000" w:space="0" w:sz="4" w:val="single"/>
              <w:bottom w:color="000000" w:space="0" w:sz="4" w:val="single"/>
              <w:right w:color="000000" w:space="0" w:sz="4" w:val="single"/>
            </w:tcBorders>
            <w:shd w:fill="auto" w:val="clear"/>
            <w:tcMar>
              <w:left w:type="dxa" w:w="103"/>
            </w:tcMar>
          </w:tcPr>
          <w:p>
            <w:pPr>
              <w:pStyle w:val="style0"/>
              <w:jc w:val="right"/>
            </w:pPr>
            <w:r>
              <w:rPr>
                <w:b w:val="false"/>
                <w:bCs w:val="false"/>
                <w:sz w:val="28"/>
                <w:szCs w:val="28"/>
              </w:rPr>
              <w:t>10978,00</w:t>
            </w:r>
          </w:p>
        </w:tc>
      </w:tr>
      <w:tr>
        <w:trPr>
          <w:cantSplit w:val="false"/>
        </w:trPr>
        <w:tc>
          <w:tcPr>
            <w:tcW w:type="dxa" w:w="2392"/>
            <w:tcBorders>
              <w:top w:val="none"/>
              <w:left w:color="000000" w:space="0" w:sz="4" w:val="single"/>
              <w:bottom w:color="000000" w:space="0" w:sz="4" w:val="single"/>
              <w:right w:val="none"/>
            </w:tcBorders>
            <w:shd w:fill="auto" w:val="clear"/>
            <w:tcMar>
              <w:left w:type="dxa" w:w="103"/>
            </w:tcMar>
          </w:tcPr>
          <w:p>
            <w:pPr>
              <w:pStyle w:val="style0"/>
            </w:pPr>
            <w:r>
              <w:rPr>
                <w:sz w:val="28"/>
                <w:szCs w:val="28"/>
              </w:rPr>
              <w:t>ИТОГО</w:t>
            </w:r>
          </w:p>
        </w:tc>
        <w:tc>
          <w:tcPr>
            <w:tcW w:type="dxa" w:w="2393"/>
            <w:tcBorders>
              <w:top w:val="none"/>
              <w:left w:color="000000" w:space="0" w:sz="4" w:val="single"/>
              <w:bottom w:color="000000" w:space="0" w:sz="4" w:val="single"/>
              <w:right w:val="none"/>
            </w:tcBorders>
            <w:shd w:fill="auto" w:val="clear"/>
            <w:tcMar>
              <w:left w:type="dxa" w:w="103"/>
            </w:tcMar>
          </w:tcPr>
          <w:p>
            <w:pPr>
              <w:pStyle w:val="style0"/>
              <w:jc w:val="right"/>
            </w:pPr>
            <w:r>
              <w:rPr>
                <w:sz w:val="28"/>
                <w:szCs w:val="28"/>
              </w:rPr>
              <w:t>151060,00</w:t>
            </w:r>
          </w:p>
        </w:tc>
        <w:tc>
          <w:tcPr>
            <w:tcW w:type="dxa" w:w="2393"/>
            <w:tcBorders>
              <w:top w:val="none"/>
              <w:left w:color="000000" w:space="0" w:sz="4" w:val="single"/>
              <w:bottom w:color="000000" w:space="0" w:sz="4" w:val="single"/>
              <w:right w:val="none"/>
            </w:tcBorders>
            <w:shd w:fill="auto" w:val="clear"/>
            <w:tcMar>
              <w:left w:type="dxa" w:w="103"/>
            </w:tcMar>
          </w:tcPr>
          <w:p>
            <w:pPr>
              <w:pStyle w:val="style0"/>
              <w:jc w:val="right"/>
            </w:pPr>
            <w:r>
              <w:rPr>
                <w:sz w:val="28"/>
                <w:szCs w:val="28"/>
              </w:rPr>
              <w:t>90850,00</w:t>
            </w:r>
          </w:p>
        </w:tc>
        <w:tc>
          <w:tcPr>
            <w:tcW w:type="dxa" w:w="2403"/>
            <w:tcBorders>
              <w:top w:val="none"/>
              <w:left w:color="000000" w:space="0" w:sz="4" w:val="single"/>
              <w:bottom w:color="000000" w:space="0" w:sz="4" w:val="single"/>
              <w:right w:color="000000" w:space="0" w:sz="4" w:val="single"/>
            </w:tcBorders>
            <w:shd w:fill="auto" w:val="clear"/>
            <w:tcMar>
              <w:left w:type="dxa" w:w="103"/>
            </w:tcMar>
          </w:tcPr>
          <w:p>
            <w:pPr>
              <w:pStyle w:val="style0"/>
              <w:jc w:val="right"/>
            </w:pPr>
            <w:r>
              <w:rPr>
                <w:b/>
                <w:sz w:val="28"/>
                <w:szCs w:val="28"/>
              </w:rPr>
              <w:t>60210,00</w:t>
            </w:r>
          </w:p>
        </w:tc>
      </w:tr>
    </w:tbl>
    <w:p>
      <w:pPr>
        <w:pStyle w:val="style0"/>
        <w:spacing w:line="276" w:lineRule="auto"/>
        <w:ind w:firstLine="851" w:left="0" w:right="0"/>
        <w:jc w:val="right"/>
      </w:pPr>
      <w:r>
        <w:rPr>
          <w:sz w:val="28"/>
          <w:szCs w:val="28"/>
        </w:rPr>
      </w:r>
    </w:p>
    <w:p>
      <w:pPr>
        <w:pStyle w:val="style0"/>
        <w:tabs>
          <w:tab w:leader="none" w:pos="2900" w:val="left"/>
          <w:tab w:leader="none" w:pos="3070" w:val="left"/>
        </w:tabs>
        <w:spacing w:line="360" w:lineRule="auto"/>
        <w:ind w:firstLine="709" w:left="0" w:right="0"/>
        <w:jc w:val="both"/>
      </w:pPr>
      <w:r>
        <w:rPr>
          <w:sz w:val="28"/>
          <w:szCs w:val="28"/>
        </w:rPr>
        <w:t xml:space="preserve">В соответствии с п.6 Порядка обеспечения денежным довольствием военнослужащих ВС РФ, утвержденного приказом МО РФ от 30 декабря 2011 года №2700, денежное довольствие, выплаченное в порядке и размерах, действовавших на день выплаты, возврату не подлежит, если право на него полностью или частично военнослужащими впоследствии утрачено, кроме случаев возврата излишне выплаченных сумм вследствие счетных ошибок. </w:t>
      </w:r>
    </w:p>
    <w:p>
      <w:pPr>
        <w:pStyle w:val="style0"/>
        <w:tabs>
          <w:tab w:leader="none" w:pos="2900" w:val="left"/>
          <w:tab w:leader="none" w:pos="3070" w:val="left"/>
        </w:tabs>
        <w:spacing w:line="360" w:lineRule="auto"/>
        <w:ind w:firstLine="709" w:left="0" w:right="0"/>
        <w:jc w:val="both"/>
      </w:pPr>
      <w:r>
        <w:rPr>
          <w:sz w:val="28"/>
          <w:szCs w:val="28"/>
        </w:rPr>
        <w:t>ФКУ «ЕРЦ МО РФ» производил мне выплату премий за февраль-октябрь 2012 года, которые впоследствии  без решения суда, без обоснования и без уведомления меня  удерживает из моего денежного довольствия, что доказывает, что это была ни счетная, ни арифметическая ошибка, а начисление по внутриведомственному документу.</w:t>
      </w:r>
    </w:p>
    <w:p>
      <w:pPr>
        <w:pStyle w:val="style0"/>
        <w:tabs>
          <w:tab w:leader="none" w:pos="2900" w:val="left"/>
          <w:tab w:leader="none" w:pos="3070" w:val="left"/>
        </w:tabs>
        <w:spacing w:line="360" w:lineRule="auto"/>
        <w:ind w:firstLine="709" w:left="0" w:right="0"/>
        <w:jc w:val="both"/>
      </w:pPr>
      <w:r>
        <w:rPr>
          <w:sz w:val="28"/>
          <w:szCs w:val="28"/>
        </w:rPr>
        <w:t>В связи с вышеизложенным я считаю, что мои права были нарушены действиями должностного лица - руководителя ЕРЦ МО РФ, связанные с</w:t>
      </w:r>
      <w:r>
        <w:rPr>
          <w:b/>
          <w:sz w:val="28"/>
          <w:szCs w:val="28"/>
        </w:rPr>
        <w:t xml:space="preserve"> </w:t>
      </w:r>
      <w:r>
        <w:rPr>
          <w:sz w:val="28"/>
          <w:szCs w:val="28"/>
        </w:rPr>
        <w:t>неполной выплатой мне денежного довольствия за ноябрь-декабрь 2012 года и январь</w:t>
      </w:r>
      <w:r>
        <w:rPr>
          <w:sz w:val="28"/>
          <w:szCs w:val="28"/>
        </w:rPr>
        <w:t>-февраль</w:t>
      </w:r>
      <w:r>
        <w:rPr>
          <w:sz w:val="28"/>
          <w:szCs w:val="28"/>
        </w:rPr>
        <w:t xml:space="preserve"> 2013 года, с которыми я не</w:t>
      </w:r>
      <w:r>
        <w:rPr>
          <w:sz w:val="28"/>
          <w:szCs w:val="28"/>
        </w:rPr>
        <w:t xml:space="preserve"> </w:t>
      </w:r>
      <w:r>
        <w:rPr>
          <w:sz w:val="28"/>
          <w:szCs w:val="28"/>
        </w:rPr>
        <w:t xml:space="preserve">согласен по следующим основаниям: </w:t>
      </w:r>
    </w:p>
    <w:p>
      <w:pPr>
        <w:pStyle w:val="style0"/>
        <w:tabs>
          <w:tab w:leader="none" w:pos="2900" w:val="left"/>
          <w:tab w:leader="none" w:pos="3070" w:val="left"/>
        </w:tabs>
        <w:spacing w:line="360" w:lineRule="auto"/>
        <w:ind w:hanging="0" w:left="0" w:right="0"/>
        <w:jc w:val="both"/>
      </w:pPr>
      <w:r>
        <w:rPr>
          <w:b/>
          <w:sz w:val="28"/>
          <w:szCs w:val="28"/>
        </w:rPr>
        <w:t xml:space="preserve">            </w:t>
      </w:r>
      <w:r>
        <w:rPr>
          <w:b/>
          <w:sz w:val="28"/>
          <w:szCs w:val="28"/>
        </w:rPr>
        <w:t>1)</w:t>
      </w:r>
      <w:r>
        <w:rPr>
          <w:sz w:val="28"/>
          <w:szCs w:val="28"/>
        </w:rPr>
        <w:t xml:space="preserve"> В соответствии с Конвенцией международной организации труда от 1 июля 1949г. N 95 «Относительно защиты заработной платы» (статья 8), Протокол N 1 к Конвенции о защите прав человека и основных свобод, обязательные для применения в силу части 4 статьи 15 Конституции Российской Федерации, статьи 10 Трудового кодекса Российской Федерации и согласующиеся с положениями статьи 137 Трудового кодекса Российской Федерации, содержится исчерпывающий перечень случаев, когда допускается взыскание с работника излишне выплаченной ему заработной платы; </w:t>
      </w:r>
    </w:p>
    <w:p>
      <w:pPr>
        <w:pStyle w:val="style0"/>
        <w:tabs>
          <w:tab w:leader="none" w:pos="2900" w:val="left"/>
          <w:tab w:leader="none" w:pos="3070" w:val="left"/>
        </w:tabs>
        <w:spacing w:line="360" w:lineRule="auto"/>
        <w:ind w:firstLine="709" w:left="0" w:right="0"/>
        <w:jc w:val="both"/>
      </w:pPr>
      <w:r>
        <w:rPr>
          <w:b/>
          <w:sz w:val="28"/>
          <w:szCs w:val="28"/>
        </w:rPr>
        <w:t>2)</w:t>
      </w:r>
      <w:r>
        <w:rPr>
          <w:sz w:val="28"/>
          <w:szCs w:val="28"/>
        </w:rPr>
        <w:t xml:space="preserve"> Согласно статье 1109 ГК РФ  не подлежат возврату в качестве неосновательного обогащения заработная плата и приравненные к ней платежи, пенсии, пособия, стипендии, возмещение вреда, причиненного жизни или здоровью, алименты и иные денежные суммы, предоставленные гражданину в качестве средства к существованию, при отсутствии недобросовестности с его стороны и счетной ошибки; </w:t>
      </w:r>
    </w:p>
    <w:p>
      <w:pPr>
        <w:pStyle w:val="style0"/>
        <w:tabs>
          <w:tab w:leader="none" w:pos="2900" w:val="left"/>
          <w:tab w:leader="none" w:pos="3070" w:val="left"/>
        </w:tabs>
        <w:spacing w:line="360" w:lineRule="auto"/>
        <w:ind w:firstLine="709" w:left="0" w:right="0"/>
        <w:jc w:val="both"/>
      </w:pPr>
      <w:r>
        <w:rPr>
          <w:b/>
          <w:sz w:val="28"/>
          <w:szCs w:val="28"/>
        </w:rPr>
        <w:t xml:space="preserve">3) </w:t>
      </w:r>
      <w:r>
        <w:rPr>
          <w:sz w:val="28"/>
          <w:szCs w:val="28"/>
        </w:rPr>
        <w:t xml:space="preserve">В соответствии со статьёй 137 Трудового кодекса заработная плата, излишне выплаченная работнику (в том числе, при неправильном применении трудового законодательства или иных нормативных правовых актов, содержащих нормы трудового права), не может быть с него взыскана, за исключением случаев если заработная плата была излишне выплачена работнику в связи со счетной ошибкой или неправомерными действиями работника, установленными судом. Моей недобросовестности и моих неправомерных действий, установленных судом в данной ситуации не было, так же отсутствовала и счётная (арифметическая) ошибка со стороны финансового органа; </w:t>
      </w:r>
    </w:p>
    <w:p>
      <w:pPr>
        <w:pStyle w:val="style0"/>
        <w:tabs>
          <w:tab w:leader="none" w:pos="2900" w:val="left"/>
          <w:tab w:leader="none" w:pos="3070" w:val="left"/>
        </w:tabs>
        <w:spacing w:line="360" w:lineRule="auto"/>
        <w:ind w:firstLine="709" w:left="0" w:right="0"/>
        <w:jc w:val="both"/>
      </w:pPr>
      <w:r>
        <w:rPr>
          <w:b/>
          <w:sz w:val="28"/>
          <w:szCs w:val="28"/>
        </w:rPr>
        <w:t>4)</w:t>
      </w:r>
      <w:r>
        <w:rPr>
          <w:sz w:val="28"/>
          <w:szCs w:val="28"/>
        </w:rPr>
        <w:t xml:space="preserve"> В связи с правовой позицией Верховного Суда РФ от 20.01.2012 N 59-В11-17 счетной следует считать ошибку, допущенную в арифметических действиях (действиях, связанных с подсчетом), в то время как технические ошибки, в том числе технические ошибки, совершенные по вине работодателя, счетными не являются.</w:t>
      </w:r>
    </w:p>
    <w:p>
      <w:pPr>
        <w:pStyle w:val="style0"/>
        <w:tabs>
          <w:tab w:leader="none" w:pos="2900" w:val="left"/>
          <w:tab w:leader="none" w:pos="3070" w:val="left"/>
        </w:tabs>
        <w:spacing w:line="360" w:lineRule="auto"/>
        <w:ind w:firstLine="709" w:left="0" w:right="0"/>
        <w:jc w:val="both"/>
      </w:pPr>
      <w:r>
        <w:rPr>
          <w:sz w:val="28"/>
          <w:szCs w:val="28"/>
        </w:rPr>
        <w:t>В данном случае при выплате мне премии со стороны работников ЕРЦ МО РФ усматривается неправильное применение ими норм законодательства, а именно постановления Правительства Российской Федерации от 5 декабря 2011г, № 993 «О выплате военнослужащим премии за добросовестное и эффективное исполнение должностных обязанностей и ежегодной материальной помощи», причины и мотивы которого может установить только следствие.</w:t>
      </w:r>
    </w:p>
    <w:p>
      <w:pPr>
        <w:pStyle w:val="style0"/>
        <w:tabs>
          <w:tab w:leader="none" w:pos="2900" w:val="left"/>
          <w:tab w:leader="none" w:pos="3070" w:val="left"/>
        </w:tabs>
        <w:spacing w:line="360" w:lineRule="auto"/>
        <w:ind w:firstLine="709" w:left="0" w:right="0"/>
        <w:jc w:val="both"/>
      </w:pPr>
      <w:r>
        <w:rPr>
          <w:sz w:val="28"/>
          <w:szCs w:val="28"/>
        </w:rPr>
        <w:t xml:space="preserve">Так как </w:t>
      </w:r>
      <w:r>
        <w:rPr>
          <w:sz w:val="28"/>
          <w:szCs w:val="28"/>
        </w:rPr>
        <w:t>не выплаченная</w:t>
      </w:r>
      <w:r>
        <w:rPr>
          <w:sz w:val="28"/>
          <w:szCs w:val="28"/>
        </w:rPr>
        <w:t xml:space="preserve"> сумма денежного довольствия за ноябрь-декабрь 2012 года и январь</w:t>
      </w:r>
      <w:r>
        <w:rPr>
          <w:sz w:val="28"/>
          <w:szCs w:val="28"/>
        </w:rPr>
        <w:t>-февраль</w:t>
      </w:r>
      <w:r>
        <w:rPr>
          <w:sz w:val="28"/>
          <w:szCs w:val="28"/>
        </w:rPr>
        <w:t xml:space="preserve"> 2013 года является существенной для меня и составляет </w:t>
      </w:r>
      <w:r>
        <w:rPr>
          <w:b/>
          <w:bCs/>
          <w:sz w:val="28"/>
          <w:szCs w:val="28"/>
        </w:rPr>
        <w:t>60210</w:t>
      </w:r>
      <w:r>
        <w:rPr>
          <w:b/>
          <w:sz w:val="28"/>
          <w:szCs w:val="28"/>
        </w:rPr>
        <w:t xml:space="preserve"> (</w:t>
      </w:r>
      <w:r>
        <w:rPr>
          <w:b/>
          <w:sz w:val="28"/>
          <w:szCs w:val="28"/>
        </w:rPr>
        <w:t>Шестьдесят тысяч</w:t>
      </w:r>
      <w:r>
        <w:rPr>
          <w:b/>
          <w:sz w:val="28"/>
          <w:szCs w:val="28"/>
        </w:rPr>
        <w:t xml:space="preserve"> двести </w:t>
      </w:r>
      <w:r>
        <w:rPr>
          <w:b/>
          <w:sz w:val="28"/>
          <w:szCs w:val="28"/>
        </w:rPr>
        <w:t>десять</w:t>
      </w:r>
      <w:r>
        <w:rPr>
          <w:b/>
          <w:sz w:val="28"/>
          <w:szCs w:val="28"/>
        </w:rPr>
        <w:t>) рубл</w:t>
      </w:r>
      <w:r>
        <w:rPr>
          <w:b/>
          <w:sz w:val="28"/>
          <w:szCs w:val="28"/>
        </w:rPr>
        <w:t>ей</w:t>
      </w:r>
      <w:r>
        <w:rPr>
          <w:b/>
          <w:sz w:val="28"/>
          <w:szCs w:val="28"/>
        </w:rPr>
        <w:t xml:space="preserve"> 00 копеек, </w:t>
      </w:r>
      <w:r>
        <w:rPr>
          <w:sz w:val="28"/>
          <w:szCs w:val="28"/>
        </w:rPr>
        <w:t>а факт неполной выплаты мне денежного довольствия является нарушением моих конституционных прав, учитывая требования статьи 12,21 ФЗ « О статусе военнослужащих», руководствуясь статьями 1,2,4 Закона РФ от 27 апреля 1993 года № 4866–1 «Об обжаловании в суд действий и решений, нарушающих права и свободы граждан», а так же статьями 2,18 и 45 Конституции РФ, статьями 15,16 и 151 Гражданского кодекса РФ,</w:t>
      </w:r>
    </w:p>
    <w:p>
      <w:pPr>
        <w:pStyle w:val="style0"/>
        <w:spacing w:line="360" w:lineRule="auto"/>
        <w:ind w:firstLine="851" w:left="0" w:right="0"/>
      </w:pPr>
      <w:r>
        <w:rPr>
          <w:b/>
          <w:bCs/>
          <w:sz w:val="28"/>
          <w:szCs w:val="28"/>
        </w:rPr>
        <w:t>ПРОШУ:</w:t>
      </w:r>
    </w:p>
    <w:p>
      <w:pPr>
        <w:pStyle w:val="style0"/>
        <w:spacing w:line="360" w:lineRule="auto"/>
        <w:ind w:firstLine="851" w:left="0" w:right="0"/>
      </w:pPr>
      <w:r>
        <w:rPr>
          <w:b/>
          <w:bCs/>
          <w:sz w:val="28"/>
          <w:szCs w:val="28"/>
        </w:rPr>
      </w:r>
    </w:p>
    <w:p>
      <w:pPr>
        <w:pStyle w:val="style0"/>
        <w:widowControl w:val="false"/>
        <w:numPr>
          <w:ilvl w:val="0"/>
          <w:numId w:val="2"/>
        </w:numPr>
        <w:autoSpaceDE w:val="false"/>
        <w:spacing w:line="360" w:lineRule="auto"/>
        <w:ind w:firstLine="709" w:left="0" w:right="0"/>
        <w:jc w:val="both"/>
      </w:pPr>
      <w:r>
        <w:rPr>
          <w:sz w:val="28"/>
          <w:szCs w:val="28"/>
        </w:rPr>
        <w:t>Признать действия руководителя Федерального казенного учреждения «Единый расчетный центр Министерства обороны Российской Федерации», выразившиеся в выплате мне денежного довольствия за ноябрь-декабрь 2012 года и январь 2013 года не в полном объеме не законными;</w:t>
      </w:r>
    </w:p>
    <w:p>
      <w:pPr>
        <w:pStyle w:val="style0"/>
        <w:widowControl w:val="false"/>
        <w:numPr>
          <w:ilvl w:val="0"/>
          <w:numId w:val="2"/>
        </w:numPr>
        <w:autoSpaceDE w:val="false"/>
        <w:spacing w:line="360" w:lineRule="auto"/>
        <w:ind w:firstLine="708" w:left="0" w:right="0"/>
        <w:jc w:val="both"/>
      </w:pPr>
      <w:r>
        <w:rPr>
          <w:sz w:val="28"/>
          <w:szCs w:val="28"/>
        </w:rPr>
        <w:t xml:space="preserve">Обязать Федеральное казенное учреждение «Единый расчетный центр Министерства обороны Российской Федерации» доплатить мне положенное денежное довольствие за ноябрь-декабрь 2012 года и январь 2013 года  </w:t>
      </w:r>
      <w:r>
        <w:rPr>
          <w:b/>
          <w:sz w:val="28"/>
          <w:szCs w:val="28"/>
        </w:rPr>
        <w:t xml:space="preserve">в сумме </w:t>
      </w:r>
      <w:r>
        <w:rPr>
          <w:b/>
          <w:sz w:val="28"/>
          <w:szCs w:val="28"/>
        </w:rPr>
        <w:t>60 210 (Шестьдесят тысяч двести десять</w:t>
      </w:r>
      <w:r>
        <w:rPr>
          <w:b/>
          <w:sz w:val="28"/>
          <w:szCs w:val="28"/>
        </w:rPr>
        <w:t>) рубл</w:t>
      </w:r>
      <w:r>
        <w:rPr>
          <w:b/>
          <w:sz w:val="28"/>
          <w:szCs w:val="28"/>
        </w:rPr>
        <w:t>ей</w:t>
      </w:r>
      <w:r>
        <w:rPr>
          <w:b/>
          <w:sz w:val="28"/>
          <w:szCs w:val="28"/>
        </w:rPr>
        <w:t>;</w:t>
      </w:r>
    </w:p>
    <w:p>
      <w:pPr>
        <w:pStyle w:val="style0"/>
        <w:widowControl w:val="false"/>
        <w:numPr>
          <w:ilvl w:val="0"/>
          <w:numId w:val="2"/>
        </w:numPr>
        <w:autoSpaceDE w:val="false"/>
        <w:spacing w:line="360" w:lineRule="auto"/>
        <w:ind w:firstLine="708" w:left="0" w:right="0"/>
        <w:jc w:val="both"/>
      </w:pPr>
      <w:r>
        <w:rPr>
          <w:sz w:val="28"/>
          <w:szCs w:val="28"/>
        </w:rPr>
        <w:t>Взыскать с Федерального казенного учреждения «Единый расчетный центр Министерства обороны Российской Федерации» в мою пользу расходы по уплате государственной пошлины при подаче настоящего заявления в размере 200 рублей</w:t>
      </w:r>
    </w:p>
    <w:p>
      <w:pPr>
        <w:pStyle w:val="style0"/>
        <w:spacing w:line="360" w:lineRule="auto"/>
      </w:pPr>
      <w:r>
        <w:rPr>
          <w:b/>
          <w:bCs/>
          <w:sz w:val="28"/>
          <w:szCs w:val="28"/>
        </w:rPr>
      </w:r>
    </w:p>
    <w:p>
      <w:pPr>
        <w:pStyle w:val="style0"/>
        <w:spacing w:line="360" w:lineRule="auto"/>
      </w:pPr>
      <w:r>
        <w:rPr>
          <w:b/>
          <w:bCs/>
          <w:sz w:val="28"/>
          <w:szCs w:val="28"/>
        </w:rPr>
      </w:r>
    </w:p>
    <w:p>
      <w:pPr>
        <w:pStyle w:val="style0"/>
        <w:spacing w:line="360" w:lineRule="auto"/>
      </w:pPr>
      <w:r>
        <w:rPr>
          <w:b/>
          <w:bCs/>
          <w:sz w:val="28"/>
          <w:szCs w:val="28"/>
        </w:rPr>
      </w:r>
    </w:p>
    <w:p>
      <w:pPr>
        <w:pStyle w:val="style0"/>
        <w:spacing w:line="360" w:lineRule="auto"/>
      </w:pPr>
      <w:r>
        <w:rPr>
          <w:b/>
          <w:bCs/>
          <w:sz w:val="28"/>
          <w:szCs w:val="28"/>
        </w:rPr>
      </w:r>
    </w:p>
    <w:p>
      <w:pPr>
        <w:pStyle w:val="style0"/>
        <w:spacing w:line="360" w:lineRule="auto"/>
      </w:pPr>
      <w:r>
        <w:rPr>
          <w:b/>
          <w:bCs/>
          <w:sz w:val="28"/>
          <w:szCs w:val="28"/>
        </w:rPr>
        <w:t>Приложения:</w:t>
      </w:r>
    </w:p>
    <w:p>
      <w:pPr>
        <w:pStyle w:val="style0"/>
        <w:numPr>
          <w:ilvl w:val="0"/>
          <w:numId w:val="3"/>
        </w:numPr>
        <w:spacing w:line="360" w:lineRule="auto"/>
      </w:pPr>
      <w:r>
        <w:rPr>
          <w:sz w:val="28"/>
          <w:szCs w:val="28"/>
        </w:rPr>
        <w:t>Копия расчетного листка за январь 2012г</w:t>
      </w:r>
      <w:r>
        <w:rPr>
          <w:sz w:val="28"/>
          <w:szCs w:val="28"/>
        </w:rPr>
        <w:t xml:space="preserve"> на 1л в 2 экз.</w:t>
      </w:r>
    </w:p>
    <w:p>
      <w:pPr>
        <w:pStyle w:val="style0"/>
        <w:numPr>
          <w:ilvl w:val="0"/>
          <w:numId w:val="3"/>
        </w:numPr>
        <w:spacing w:line="360" w:lineRule="auto"/>
      </w:pPr>
      <w:r>
        <w:rPr>
          <w:sz w:val="28"/>
          <w:szCs w:val="28"/>
        </w:rPr>
        <w:t>Копия расчетного листка за февраль 2012г</w:t>
      </w:r>
      <w:r>
        <w:rPr>
          <w:sz w:val="28"/>
          <w:szCs w:val="28"/>
        </w:rPr>
        <w:t xml:space="preserve"> на 1л в 2 экз.</w:t>
      </w:r>
    </w:p>
    <w:p>
      <w:pPr>
        <w:pStyle w:val="style0"/>
        <w:numPr>
          <w:ilvl w:val="0"/>
          <w:numId w:val="3"/>
        </w:numPr>
        <w:spacing w:line="360" w:lineRule="auto"/>
      </w:pPr>
      <w:r>
        <w:rPr>
          <w:sz w:val="28"/>
          <w:szCs w:val="28"/>
        </w:rPr>
        <w:t>Копия расчетного листка за март 2012г</w:t>
      </w:r>
      <w:r>
        <w:rPr>
          <w:sz w:val="28"/>
          <w:szCs w:val="28"/>
        </w:rPr>
        <w:t xml:space="preserve"> на 1л в 2 экз.</w:t>
      </w:r>
    </w:p>
    <w:p>
      <w:pPr>
        <w:pStyle w:val="style0"/>
        <w:numPr>
          <w:ilvl w:val="0"/>
          <w:numId w:val="3"/>
        </w:numPr>
        <w:spacing w:line="360" w:lineRule="auto"/>
      </w:pPr>
      <w:r>
        <w:rPr>
          <w:sz w:val="28"/>
          <w:szCs w:val="28"/>
        </w:rPr>
        <w:t>Копия расчетного листка за апрель 2012г</w:t>
      </w:r>
      <w:r>
        <w:rPr>
          <w:sz w:val="28"/>
          <w:szCs w:val="28"/>
        </w:rPr>
        <w:t xml:space="preserve"> на 1л в 2 экз.</w:t>
      </w:r>
    </w:p>
    <w:p>
      <w:pPr>
        <w:pStyle w:val="style0"/>
        <w:numPr>
          <w:ilvl w:val="0"/>
          <w:numId w:val="3"/>
        </w:numPr>
        <w:spacing w:line="360" w:lineRule="auto"/>
      </w:pPr>
      <w:r>
        <w:rPr>
          <w:sz w:val="28"/>
          <w:szCs w:val="28"/>
        </w:rPr>
        <w:t>Копия расчетного листка за май 2012г</w:t>
      </w:r>
      <w:r>
        <w:rPr>
          <w:sz w:val="28"/>
          <w:szCs w:val="28"/>
        </w:rPr>
        <w:t xml:space="preserve"> на 1л в 2 экз.</w:t>
      </w:r>
    </w:p>
    <w:p>
      <w:pPr>
        <w:pStyle w:val="style0"/>
        <w:numPr>
          <w:ilvl w:val="0"/>
          <w:numId w:val="3"/>
        </w:numPr>
        <w:spacing w:line="360" w:lineRule="auto"/>
      </w:pPr>
      <w:r>
        <w:rPr>
          <w:sz w:val="28"/>
          <w:szCs w:val="28"/>
        </w:rPr>
        <w:t>Копия расчетного листка за июнь 2012г</w:t>
      </w:r>
      <w:r>
        <w:rPr>
          <w:sz w:val="28"/>
          <w:szCs w:val="28"/>
        </w:rPr>
        <w:t xml:space="preserve"> на 1л в 2 экз.</w:t>
      </w:r>
    </w:p>
    <w:p>
      <w:pPr>
        <w:pStyle w:val="style0"/>
        <w:numPr>
          <w:ilvl w:val="0"/>
          <w:numId w:val="3"/>
        </w:numPr>
        <w:spacing w:line="360" w:lineRule="auto"/>
      </w:pPr>
      <w:r>
        <w:rPr>
          <w:sz w:val="28"/>
          <w:szCs w:val="28"/>
        </w:rPr>
        <w:t>Копия расчетного листка за июль 2012г</w:t>
      </w:r>
      <w:r>
        <w:rPr>
          <w:sz w:val="28"/>
          <w:szCs w:val="28"/>
        </w:rPr>
        <w:t xml:space="preserve"> на 1л в 2 экз.</w:t>
      </w:r>
    </w:p>
    <w:p>
      <w:pPr>
        <w:pStyle w:val="style0"/>
        <w:numPr>
          <w:ilvl w:val="0"/>
          <w:numId w:val="3"/>
        </w:numPr>
        <w:spacing w:line="360" w:lineRule="auto"/>
      </w:pPr>
      <w:r>
        <w:rPr>
          <w:sz w:val="28"/>
          <w:szCs w:val="28"/>
        </w:rPr>
        <w:t>Копия расчетного листка за август 2012г</w:t>
      </w:r>
      <w:r>
        <w:rPr>
          <w:sz w:val="28"/>
          <w:szCs w:val="28"/>
        </w:rPr>
        <w:t xml:space="preserve"> на 1л в 2 экз.</w:t>
      </w:r>
    </w:p>
    <w:p>
      <w:pPr>
        <w:pStyle w:val="style0"/>
        <w:numPr>
          <w:ilvl w:val="0"/>
          <w:numId w:val="3"/>
        </w:numPr>
        <w:spacing w:line="360" w:lineRule="auto"/>
      </w:pPr>
      <w:r>
        <w:rPr>
          <w:sz w:val="28"/>
          <w:szCs w:val="28"/>
        </w:rPr>
        <w:t>Копия расчетного листка за сентябрь 2012г</w:t>
      </w:r>
      <w:r>
        <w:rPr>
          <w:sz w:val="28"/>
          <w:szCs w:val="28"/>
        </w:rPr>
        <w:t xml:space="preserve"> на 1л в 2 экз.</w:t>
      </w:r>
    </w:p>
    <w:p>
      <w:pPr>
        <w:pStyle w:val="style0"/>
        <w:numPr>
          <w:ilvl w:val="0"/>
          <w:numId w:val="3"/>
        </w:numPr>
        <w:spacing w:line="360" w:lineRule="auto"/>
      </w:pPr>
      <w:r>
        <w:rPr>
          <w:sz w:val="28"/>
          <w:szCs w:val="28"/>
        </w:rPr>
        <w:t>Копия расчетного листка за октябрь 2012г</w:t>
      </w:r>
      <w:r>
        <w:rPr>
          <w:sz w:val="28"/>
          <w:szCs w:val="28"/>
        </w:rPr>
        <w:t xml:space="preserve"> на 1л в 2 экз.</w:t>
      </w:r>
    </w:p>
    <w:p>
      <w:pPr>
        <w:pStyle w:val="style0"/>
        <w:numPr>
          <w:ilvl w:val="0"/>
          <w:numId w:val="3"/>
        </w:numPr>
        <w:spacing w:line="360" w:lineRule="auto"/>
      </w:pPr>
      <w:r>
        <w:rPr>
          <w:sz w:val="28"/>
          <w:szCs w:val="28"/>
        </w:rPr>
        <w:t>Копия расчетного листка за ноябрь 2012г</w:t>
      </w:r>
      <w:r>
        <w:rPr>
          <w:sz w:val="28"/>
          <w:szCs w:val="28"/>
        </w:rPr>
        <w:t xml:space="preserve"> на 1л в 2 экз.</w:t>
      </w:r>
    </w:p>
    <w:p>
      <w:pPr>
        <w:pStyle w:val="style0"/>
        <w:numPr>
          <w:ilvl w:val="0"/>
          <w:numId w:val="3"/>
        </w:numPr>
        <w:spacing w:line="360" w:lineRule="auto"/>
      </w:pPr>
      <w:r>
        <w:rPr>
          <w:sz w:val="28"/>
          <w:szCs w:val="28"/>
        </w:rPr>
        <w:t>Копия расчетного листка за декабрь 2012г</w:t>
      </w:r>
      <w:r>
        <w:rPr>
          <w:sz w:val="28"/>
          <w:szCs w:val="28"/>
        </w:rPr>
        <w:t xml:space="preserve"> на 1л в 2 экз.</w:t>
      </w:r>
    </w:p>
    <w:p>
      <w:pPr>
        <w:pStyle w:val="style0"/>
        <w:numPr>
          <w:ilvl w:val="0"/>
          <w:numId w:val="3"/>
        </w:numPr>
        <w:spacing w:line="360" w:lineRule="auto"/>
      </w:pPr>
      <w:r>
        <w:rPr>
          <w:sz w:val="28"/>
          <w:szCs w:val="28"/>
        </w:rPr>
        <w:t>Копия расчетного листка за январь 2013г</w:t>
      </w:r>
      <w:r>
        <w:rPr>
          <w:sz w:val="28"/>
          <w:szCs w:val="28"/>
        </w:rPr>
        <w:t xml:space="preserve"> на 1л в 2 экз.</w:t>
      </w:r>
    </w:p>
    <w:p>
      <w:pPr>
        <w:pStyle w:val="style0"/>
        <w:numPr>
          <w:ilvl w:val="0"/>
          <w:numId w:val="3"/>
        </w:numPr>
        <w:spacing w:line="360" w:lineRule="auto"/>
      </w:pPr>
      <w:r>
        <w:rPr>
          <w:sz w:val="28"/>
          <w:szCs w:val="28"/>
        </w:rPr>
        <w:t>Копия расчетного листка за февраль 2013г</w:t>
      </w:r>
      <w:r>
        <w:rPr>
          <w:sz w:val="28"/>
          <w:szCs w:val="28"/>
        </w:rPr>
        <w:t xml:space="preserve"> на 1л в 2 экз.</w:t>
      </w:r>
    </w:p>
    <w:p>
      <w:pPr>
        <w:pStyle w:val="style0"/>
        <w:numPr>
          <w:ilvl w:val="0"/>
          <w:numId w:val="3"/>
        </w:numPr>
        <w:spacing w:line="360" w:lineRule="auto"/>
      </w:pPr>
      <w:r>
        <w:rPr>
          <w:sz w:val="28"/>
          <w:szCs w:val="28"/>
        </w:rPr>
        <w:t>Копия выписки из приказа № года О нахождении в распоряжении на 1л. в 2 экз.</w:t>
      </w:r>
    </w:p>
    <w:p>
      <w:pPr>
        <w:pStyle w:val="style0"/>
        <w:numPr>
          <w:ilvl w:val="0"/>
          <w:numId w:val="3"/>
        </w:numPr>
        <w:spacing w:line="360" w:lineRule="auto"/>
      </w:pPr>
      <w:r>
        <w:rPr>
          <w:sz w:val="28"/>
          <w:szCs w:val="28"/>
        </w:rPr>
        <w:t>Выписка по контракту клиента «ВТБ24»(ЗАО) с 01.01.2012 по 27.03.2013 на 5-ти л. в 2 экз.</w:t>
      </w:r>
    </w:p>
    <w:p>
      <w:pPr>
        <w:pStyle w:val="style0"/>
        <w:numPr>
          <w:ilvl w:val="0"/>
          <w:numId w:val="3"/>
        </w:numPr>
        <w:spacing w:line="360" w:lineRule="auto"/>
      </w:pPr>
      <w:r>
        <w:rPr>
          <w:sz w:val="28"/>
          <w:szCs w:val="28"/>
        </w:rPr>
        <w:t>Копия заявления на 6 л. в 1экз.</w:t>
      </w:r>
    </w:p>
    <w:p>
      <w:pPr>
        <w:pStyle w:val="style0"/>
        <w:numPr>
          <w:ilvl w:val="0"/>
          <w:numId w:val="3"/>
        </w:numPr>
        <w:spacing w:line="360" w:lineRule="auto"/>
      </w:pPr>
      <w:r>
        <w:rPr>
          <w:sz w:val="28"/>
          <w:szCs w:val="28"/>
        </w:rPr>
        <w:t>Квитанция об оплате госпошлины на 1л. в 1 экз.</w:t>
      </w:r>
    </w:p>
    <w:p>
      <w:pPr>
        <w:pStyle w:val="style0"/>
        <w:spacing w:line="360" w:lineRule="auto"/>
      </w:pPr>
      <w:r>
        <w:rPr>
          <w:sz w:val="28"/>
          <w:szCs w:val="28"/>
        </w:rPr>
      </w:r>
    </w:p>
    <w:p>
      <w:pPr>
        <w:pStyle w:val="style0"/>
        <w:spacing w:line="360" w:lineRule="auto"/>
      </w:pPr>
      <w:r>
        <w:rPr>
          <w:sz w:val="28"/>
          <w:szCs w:val="28"/>
        </w:rPr>
      </w:r>
    </w:p>
    <w:sectPr>
      <w:type w:val="nextPage"/>
      <w:pgSz w:h="16838" w:w="11906"/>
      <w:pgMar w:bottom="1134" w:footer="0" w:gutter="0" w:header="0" w:left="1134" w:right="1134" w:top="1134"/>
      <w:pgNumType w:fmt="decimal"/>
      <w:formProt w:val="false"/>
      <w:textDirection w:val="lrTb"/>
    </w:sectPr>
  </w:body>
</w:document>
</file>

<file path=word/fontTable.xml><?xml version="1.0" encoding="utf-8"?>
<w:fonts xmlns:r="http://schemas.openxmlformats.org/officeDocument/2006/relationship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80"/>
    <w:family w:val="roman"/>
    <w:pitch w:val="variable"/>
  </w:font>
  <w:font w:name="Arial">
    <w:charset w:val="80"/>
    <w:family w:val="swiss"/>
    <w:pitch w:val="variable"/>
  </w:font>
  <w:font w:name="Courier New">
    <w:charset w:val="80"/>
    <w:family w:val="roman"/>
    <w:pitch w:val="variable"/>
  </w:font>
</w:fonts>
</file>

<file path=word/numbering.xml><?xml version="1.0" encoding="utf-8"?>
<w:numbering xmlns:w="http://schemas.openxmlformats.org/wordprocessingml/2006/main">
  <w:abstractNum w:abstractNumId="1">
    <w:lvl w:ilvl="0">
      <w:start w:val="1"/>
      <w:numFmt w:val="none"/>
      <w:suff w:val="nothing"/>
      <w:lvlText w:val=""/>
      <w:lvlJc w:val="left"/>
      <w:pPr>
        <w:tabs>
          <w:tab w:pos="432" w:val="num"/>
        </w:tabs>
        <w:ind w:hanging="432" w:left="432"/>
      </w:pPr>
    </w:lvl>
    <w:lvl w:ilvl="1">
      <w:start w:val="1"/>
      <w:numFmt w:val="none"/>
      <w:suff w:val="nothing"/>
      <w:lvlText w:val=""/>
      <w:lvlJc w:val="left"/>
      <w:pPr>
        <w:tabs>
          <w:tab w:pos="576" w:val="num"/>
        </w:tabs>
        <w:ind w:hanging="576" w:left="576"/>
      </w:pPr>
    </w:lvl>
    <w:lvl w:ilvl="2">
      <w:start w:val="1"/>
      <w:numFmt w:val="none"/>
      <w:suff w:val="nothing"/>
      <w:lvlText w:val=""/>
      <w:lvlJc w:val="left"/>
      <w:pPr>
        <w:tabs>
          <w:tab w:pos="720" w:val="num"/>
        </w:tabs>
        <w:ind w:hanging="720" w:left="720"/>
      </w:pPr>
    </w:lvl>
    <w:lvl w:ilvl="3">
      <w:start w:val="1"/>
      <w:numFmt w:val="none"/>
      <w:suff w:val="nothing"/>
      <w:lvlText w:val=""/>
      <w:lvlJc w:val="left"/>
      <w:pPr>
        <w:tabs>
          <w:tab w:pos="864" w:val="num"/>
        </w:tabs>
        <w:ind w:hanging="864" w:left="864"/>
      </w:pPr>
    </w:lvl>
    <w:lvl w:ilvl="4">
      <w:start w:val="1"/>
      <w:numFmt w:val="none"/>
      <w:suff w:val="nothing"/>
      <w:lvlText w:val=""/>
      <w:lvlJc w:val="left"/>
      <w:pPr>
        <w:tabs>
          <w:tab w:pos="1008" w:val="num"/>
        </w:tabs>
        <w:ind w:hanging="1008" w:left="1008"/>
      </w:pPr>
    </w:lvl>
    <w:lvl w:ilvl="5">
      <w:start w:val="1"/>
      <w:numFmt w:val="none"/>
      <w:suff w:val="nothing"/>
      <w:lvlText w:val=""/>
      <w:lvlJc w:val="left"/>
      <w:pPr>
        <w:tabs>
          <w:tab w:pos="1152" w:val="num"/>
        </w:tabs>
        <w:ind w:hanging="1152" w:left="1152"/>
      </w:pPr>
    </w:lvl>
    <w:lvl w:ilvl="6">
      <w:start w:val="1"/>
      <w:numFmt w:val="none"/>
      <w:suff w:val="nothing"/>
      <w:lvlText w:val=""/>
      <w:lvlJc w:val="left"/>
      <w:pPr>
        <w:tabs>
          <w:tab w:pos="1296" w:val="num"/>
        </w:tabs>
        <w:ind w:hanging="1296" w:left="1296"/>
      </w:pPr>
    </w:lvl>
    <w:lvl w:ilvl="7">
      <w:start w:val="1"/>
      <w:numFmt w:val="none"/>
      <w:suff w:val="nothing"/>
      <w:lvlText w:val=""/>
      <w:lvlJc w:val="left"/>
      <w:pPr>
        <w:tabs>
          <w:tab w:pos="1440" w:val="num"/>
        </w:tabs>
        <w:ind w:hanging="1440" w:left="1440"/>
      </w:pPr>
    </w:lvl>
    <w:lvl w:ilvl="8">
      <w:start w:val="1"/>
      <w:numFmt w:val="none"/>
      <w:suff w:val="nothing"/>
      <w:lvlText w:val=""/>
      <w:lvlJc w:val="left"/>
      <w:pPr>
        <w:tabs>
          <w:tab w:pos="1584" w:val="num"/>
        </w:tabs>
        <w:ind w:hanging="1584" w:left="1584"/>
      </w:pPr>
    </w:lvl>
  </w:abstractNum>
  <w:abstractNum w:abstractNumId="2">
    <w:lvl w:ilvl="0">
      <w:start w:val="1"/>
      <w:numFmt w:val="decimal"/>
      <w:lvlText w:val="%1."/>
      <w:lvlJc w:val="left"/>
      <w:pPr>
        <w:ind w:hanging="990" w:left="1698"/>
      </w:pPr>
    </w:lvl>
  </w:abstractNum>
  <w:abstractNum w:abstractNumId="3">
    <w:lvl w:ilvl="0">
      <w:start w:val="1"/>
      <w:numFmt w:val="decimal"/>
      <w:lvlText w:val="%1."/>
      <w:lvlJc w:val="left"/>
      <w:pPr>
        <w:tabs>
          <w:tab w:pos="720" w:val="num"/>
        </w:tabs>
        <w:ind w:hanging="360" w:left="720"/>
      </w:pPr>
    </w:lvl>
    <w:lvl w:ilvl="1">
      <w:start w:val="1"/>
      <w:numFmt w:val="decimal"/>
      <w:lvlText w:val="%1.%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w:style w:styleId="style0" w:type="paragraph">
    <w:name w:val="Normal"/>
    <w:next w:val="style0"/>
    <w:pPr>
      <w:widowControl w:val="false"/>
      <w:suppressAutoHyphens w:val="true"/>
      <w:kinsoku w:val="true"/>
      <w:overflowPunct w:val="true"/>
      <w:autoSpaceDE w:val="true"/>
    </w:pPr>
    <w:rPr>
      <w:rFonts w:ascii="Times New Roman" w:cs="FreeSans" w:eastAsia="Droid Sans Fallback" w:hAnsi="Times New Roman"/>
      <w:color w:val="auto"/>
      <w:sz w:val="24"/>
      <w:szCs w:val="24"/>
      <w:lang w:bidi="hi-IN" w:eastAsia="zh-CN" w:val="ru-RU"/>
    </w:rPr>
  </w:style>
  <w:style w:styleId="style1" w:type="paragraph">
    <w:name w:val="Заголовок 1"/>
    <w:basedOn w:val="style15"/>
    <w:next w:val="style16"/>
    <w:pPr>
      <w:numPr>
        <w:ilvl w:val="0"/>
        <w:numId w:val="1"/>
      </w:numPr>
      <w:outlineLvl w:val="0"/>
    </w:pPr>
    <w:rPr>
      <w:b/>
      <w:bCs/>
      <w:sz w:val="32"/>
      <w:szCs w:val="32"/>
    </w:rPr>
  </w:style>
  <w:style w:styleId="style2" w:type="paragraph">
    <w:name w:val="Заголовок 2"/>
    <w:basedOn w:val="style15"/>
    <w:next w:val="style16"/>
    <w:pPr>
      <w:numPr>
        <w:ilvl w:val="1"/>
        <w:numId w:val="1"/>
      </w:numPr>
      <w:outlineLvl w:val="1"/>
    </w:pPr>
    <w:rPr>
      <w:b/>
      <w:bCs/>
      <w:i/>
      <w:iCs/>
      <w:sz w:val="28"/>
      <w:szCs w:val="28"/>
    </w:rPr>
  </w:style>
  <w:style w:styleId="style3" w:type="paragraph">
    <w:name w:val="Заголовок 3"/>
    <w:basedOn w:val="style15"/>
    <w:next w:val="style16"/>
    <w:pPr>
      <w:numPr>
        <w:ilvl w:val="2"/>
        <w:numId w:val="1"/>
      </w:numPr>
      <w:outlineLvl w:val="2"/>
    </w:pPr>
    <w:rPr>
      <w:b/>
      <w:bCs/>
      <w:sz w:val="28"/>
      <w:szCs w:val="28"/>
    </w:rPr>
  </w:style>
  <w:style w:styleId="style15" w:type="paragraph">
    <w:name w:val="Заголовок"/>
    <w:basedOn w:val="style0"/>
    <w:next w:val="style16"/>
    <w:pPr>
      <w:keepNext/>
      <w:spacing w:after="120" w:before="240"/>
      <w:contextualSpacing w:val="false"/>
    </w:pPr>
    <w:rPr>
      <w:rFonts w:ascii="Arial" w:cs="FreeSans" w:eastAsia="Droid Sans Fallback" w:hAnsi="Arial"/>
      <w:sz w:val="28"/>
      <w:szCs w:val="28"/>
    </w:rPr>
  </w:style>
  <w:style w:styleId="style16" w:type="paragraph">
    <w:name w:val="Основной текст"/>
    <w:basedOn w:val="style0"/>
    <w:next w:val="style16"/>
    <w:pPr>
      <w:spacing w:after="120" w:before="0"/>
      <w:contextualSpacing w:val="false"/>
    </w:pPr>
    <w:rPr/>
  </w:style>
  <w:style w:styleId="style17" w:type="paragraph">
    <w:name w:val="Список"/>
    <w:basedOn w:val="style16"/>
    <w:next w:val="style17"/>
    <w:pPr/>
    <w:rPr>
      <w:rFonts w:cs="FreeSans"/>
    </w:rPr>
  </w:style>
  <w:style w:styleId="style18" w:type="paragraph">
    <w:name w:val="Название"/>
    <w:basedOn w:val="style0"/>
    <w:next w:val="style18"/>
    <w:pPr>
      <w:suppressLineNumbers/>
      <w:spacing w:after="120" w:before="120"/>
      <w:contextualSpacing w:val="false"/>
    </w:pPr>
    <w:rPr>
      <w:rFonts w:cs="FreeSans"/>
      <w:i/>
      <w:iCs/>
      <w:sz w:val="24"/>
      <w:szCs w:val="24"/>
    </w:rPr>
  </w:style>
  <w:style w:styleId="style19" w:type="paragraph">
    <w:name w:val="Указатель"/>
    <w:basedOn w:val="style0"/>
    <w:next w:val="style19"/>
    <w:pPr>
      <w:suppressLineNumbers/>
    </w:pPr>
    <w:rPr>
      <w:rFonts w:cs="FreeSans"/>
    </w:rPr>
  </w:style>
  <w:style w:styleId="style20" w:type="paragraph">
    <w:name w:val="Содержимое таблицы"/>
    <w:basedOn w:val="style0"/>
    <w:next w:val="style20"/>
    <w:pPr>
      <w:suppressLineNumbers/>
    </w:pPr>
    <w:rPr/>
  </w:style>
  <w:style w:styleId="style21" w:type="paragraph">
    <w:name w:val="Заголовок таблицы"/>
    <w:basedOn w:val="style20"/>
    <w:next w:val="style21"/>
    <w:pPr>
      <w:suppressLineNumbers/>
      <w:jc w:val="center"/>
    </w:pPr>
    <w:rPr>
      <w:b/>
      <w:bCs/>
    </w:rPr>
  </w:style>
  <w:style w:styleId="style22" w:type="paragraph">
    <w:name w:val="Обычный (веб)"/>
    <w:basedOn w:val="style0"/>
    <w:next w:val="style22"/>
    <w:pPr>
      <w:spacing w:after="100" w:before="100"/>
      <w:contextualSpacing w:val="false"/>
    </w:pPr>
    <w:rPr>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838</TotalTime>
  <Application>LibreOffice/4.0.4.2$Linux_x86 LibreOffice_project/400m0$Build-2</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2013-03-23T13:49:36.00Z</dcterms:created>
  <dcterms:modified xsi:type="dcterms:W3CDTF">2013-07-08T13:10:24.00Z</dcterms:modified>
  <cp:revision>7</cp:revision>
</cp:coreProperties>
</file>