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C6BFF">
        <w:rPr>
          <w:rFonts w:ascii="Arial" w:hAnsi="Arial" w:cs="Arial"/>
          <w:sz w:val="24"/>
          <w:szCs w:val="24"/>
        </w:rPr>
        <w:t xml:space="preserve">Так, офицер Б. обжаловал в суде действия соответствующего командира, связанные с отказом в представлении заявителя к досрочному увольнению с военной службы на основании </w:t>
      </w:r>
      <w:hyperlink r:id="rId4" w:history="1">
        <w:r w:rsidRPr="007C6BFF">
          <w:rPr>
            <w:rFonts w:ascii="Arial" w:hAnsi="Arial" w:cs="Arial"/>
            <w:color w:val="008000"/>
            <w:sz w:val="24"/>
            <w:szCs w:val="24"/>
          </w:rPr>
          <w:t>подп. "а" п. 2 ст. 51</w:t>
        </w:r>
      </w:hyperlink>
      <w:r w:rsidRPr="007C6BFF">
        <w:rPr>
          <w:rFonts w:ascii="Arial" w:hAnsi="Arial" w:cs="Arial"/>
          <w:sz w:val="24"/>
          <w:szCs w:val="24"/>
        </w:rPr>
        <w:t xml:space="preserve"> Федерального закона "О воинской обязанности и военной службе" в связи с проводимыми организационно-штатными мероприятиями.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Решением 77-го гарнизонного военного суда жалоба Б. удовлетворена.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Определением Балтийского флотского военного суда данное решение отменено и вынесено новое решение об отказе в удовлетворении жалобы.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Постановлением президиума Балтийского флотского военного суда определение кассационной инстанции отменено и оставлено в силе решение 77-го гарнизонного военного суда.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 xml:space="preserve">В надзорной жалобе в Военную коллегию должностное лицо просило постановление президиума флотского суда отменить в связи с существенным нарушением норм материального права. По его мнению, суд ошибочно, вне контекста с другими правовыми нормами, истолковал </w:t>
      </w:r>
      <w:hyperlink r:id="rId5" w:history="1">
        <w:r w:rsidRPr="007C6BFF">
          <w:rPr>
            <w:rFonts w:ascii="Arial" w:hAnsi="Arial" w:cs="Arial"/>
            <w:color w:val="008000"/>
            <w:sz w:val="24"/>
            <w:szCs w:val="24"/>
          </w:rPr>
          <w:t>подп. "а" п. 4 ст. 34</w:t>
        </w:r>
      </w:hyperlink>
      <w:r w:rsidRPr="007C6BFF">
        <w:rPr>
          <w:rFonts w:ascii="Arial" w:hAnsi="Arial" w:cs="Arial"/>
          <w:sz w:val="24"/>
          <w:szCs w:val="24"/>
        </w:rPr>
        <w:t xml:space="preserve"> Положения о порядке прохождения военной службы, определяющий порядок досрочного увольнения военнослужащего с военной службы.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В определении об отказе в истребовании данного гражданского дела в Военную коллегию указано следующее.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Как видно из имеющихся материалов, воинская должность, на которой Б. проходил военную службу по контракту, подлежала сокращению. Будучи не согласен с назначением на другую равную воинскую должность, Б. обратился к командованию с просьбой о досрочном увольнении в запас в связи с проводимыми организационно-штатными мероприятиями. Однако в этом ему было отказано.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hyperlink r:id="rId6" w:history="1">
        <w:r w:rsidRPr="007C6BFF">
          <w:rPr>
            <w:rFonts w:ascii="Arial" w:hAnsi="Arial" w:cs="Arial"/>
            <w:color w:val="008000"/>
            <w:sz w:val="24"/>
            <w:szCs w:val="24"/>
          </w:rPr>
          <w:t>Подпунктом "а" п. 4 ст. 34</w:t>
        </w:r>
      </w:hyperlink>
      <w:r w:rsidRPr="007C6BFF">
        <w:rPr>
          <w:rFonts w:ascii="Arial" w:hAnsi="Arial" w:cs="Arial"/>
          <w:sz w:val="24"/>
          <w:szCs w:val="24"/>
        </w:rPr>
        <w:t xml:space="preserve"> Положения о порядке прохождения военной службы установлено, что военнослужащий, проходящий военную службу по контракту, может быть досрочно уволен с военной службы в связи с организационно-штатными мероприятиями и при отсутствии других оснований для увольнения при сокращении занимаемой им воинской должности и отсутствии его согласия с назначением на другую воинскую должность.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Все перечисленные условия имеют место по делу Б. и сторонами не оспариваются.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 xml:space="preserve">В соответствии с </w:t>
      </w:r>
      <w:hyperlink r:id="rId7" w:history="1">
        <w:r w:rsidRPr="007C6BFF">
          <w:rPr>
            <w:rFonts w:ascii="Arial" w:hAnsi="Arial" w:cs="Arial"/>
            <w:color w:val="008000"/>
            <w:sz w:val="24"/>
            <w:szCs w:val="24"/>
          </w:rPr>
          <w:t>подп. "б" п. 15 ст. 11</w:t>
        </w:r>
      </w:hyperlink>
      <w:r w:rsidRPr="007C6BFF">
        <w:rPr>
          <w:rFonts w:ascii="Arial" w:hAnsi="Arial" w:cs="Arial"/>
          <w:sz w:val="24"/>
          <w:szCs w:val="24"/>
        </w:rPr>
        <w:t xml:space="preserve"> вышеназванного Положения назначение военнослужащего на другую равную воинскую должность в связи с организационно-штатными мероприятиями, действительно, осуществляется без его согласия.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 xml:space="preserve">Однако поскольку данная норма указанного </w:t>
      </w:r>
      <w:hyperlink r:id="rId8" w:history="1">
        <w:r w:rsidRPr="007C6BFF">
          <w:rPr>
            <w:rFonts w:ascii="Arial" w:hAnsi="Arial" w:cs="Arial"/>
            <w:color w:val="008000"/>
            <w:sz w:val="24"/>
            <w:szCs w:val="24"/>
          </w:rPr>
          <w:t>Положения</w:t>
        </w:r>
      </w:hyperlink>
      <w:r w:rsidRPr="007C6BFF">
        <w:rPr>
          <w:rFonts w:ascii="Arial" w:hAnsi="Arial" w:cs="Arial"/>
          <w:sz w:val="24"/>
          <w:szCs w:val="24"/>
        </w:rPr>
        <w:t xml:space="preserve"> регулирует иные отношения, связанные с назначением военнослужащих на воинские должности, а </w:t>
      </w:r>
      <w:hyperlink r:id="rId9" w:history="1">
        <w:r w:rsidRPr="007C6BFF">
          <w:rPr>
            <w:rFonts w:ascii="Arial" w:hAnsi="Arial" w:cs="Arial"/>
            <w:color w:val="008000"/>
            <w:sz w:val="24"/>
            <w:szCs w:val="24"/>
          </w:rPr>
          <w:t>ст. 34</w:t>
        </w:r>
      </w:hyperlink>
      <w:r w:rsidRPr="007C6BFF">
        <w:rPr>
          <w:rFonts w:ascii="Arial" w:hAnsi="Arial" w:cs="Arial"/>
          <w:sz w:val="24"/>
          <w:szCs w:val="24"/>
        </w:rPr>
        <w:t xml:space="preserve"> Положения - с увольнением военнослужащих с военной службы, применению в данном случае (после обращения военнослужащего с рапортом об увольнении) подлежит последняя из указанных статьей. Поэтому отказ в представлении Б. к увольнению по указанному основанию является незаконным.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Военнослужащий может быть уволен с военной службы только при наличии оснований, предусмотренных действующим законодательством Российской Федерации.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И. оспорил в Уссурийском гарнизонном военном суде действия командира воинской части, отказавшегося представить заявителя к досрочному увольнению с военной службы в связи с организационно-штатными мероприятиями.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Суд гарнизона требования И. удовлетворил и обязал воинское должностное лицо представить соответствующие документы на увольнение заявителя с военной службы по указанному основанию.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Отменяя данное решение, Дальневосточный окружной военный суд указал следующее.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lastRenderedPageBreak/>
        <w:t xml:space="preserve">В соответствии с </w:t>
      </w:r>
      <w:hyperlink r:id="rId10" w:history="1">
        <w:r w:rsidRPr="007C6BFF">
          <w:rPr>
            <w:rFonts w:ascii="Arial" w:hAnsi="Arial" w:cs="Arial"/>
            <w:color w:val="008000"/>
            <w:sz w:val="24"/>
            <w:szCs w:val="24"/>
          </w:rPr>
          <w:t>подп. "а" п. 2 ст. 51</w:t>
        </w:r>
      </w:hyperlink>
      <w:r w:rsidRPr="007C6BFF">
        <w:rPr>
          <w:rFonts w:ascii="Arial" w:hAnsi="Arial" w:cs="Arial"/>
          <w:sz w:val="24"/>
          <w:szCs w:val="24"/>
        </w:rPr>
        <w:t xml:space="preserve"> Федерального закона "О воинской обязанности и военной службе" военнослужащий может быть досрочно уволен с военной службы в связи с организационно-штатными мероприятиями.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 xml:space="preserve">Исчерпывающий перечень таких оснований содержится в </w:t>
      </w:r>
      <w:hyperlink r:id="rId11" w:history="1">
        <w:r w:rsidRPr="007C6BFF">
          <w:rPr>
            <w:rFonts w:ascii="Arial" w:hAnsi="Arial" w:cs="Arial"/>
            <w:color w:val="008000"/>
            <w:sz w:val="24"/>
            <w:szCs w:val="24"/>
          </w:rPr>
          <w:t>подп. "а" п. 4 ст. 34</w:t>
        </w:r>
      </w:hyperlink>
      <w:r w:rsidRPr="007C6BFF">
        <w:rPr>
          <w:rFonts w:ascii="Arial" w:hAnsi="Arial" w:cs="Arial"/>
          <w:sz w:val="24"/>
          <w:szCs w:val="24"/>
        </w:rPr>
        <w:t xml:space="preserve"> Положения о порядке прохождения военной службы.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В судебном заседании установлено, что заявитель ранее проходил военную службу на воинской должности оперативного дежурного - начальника смены командного пункта дивизии, которой соответствовал 10-й тарифный разряд.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Ввиду сокращения указанной должности И. с его согласия был назначен на аналогичную воинскую должность с 8-м тарифным разрядом. При этом за ним был сохранен оклад по ранее занимаемой воинской должности, т.е. по 10-му тарифному разряду.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 xml:space="preserve">В дальнейшем согласно директиве Генерального штаба, изданной во исполнение </w:t>
      </w:r>
      <w:hyperlink r:id="rId12" w:history="1">
        <w:r w:rsidRPr="007C6BFF">
          <w:rPr>
            <w:rFonts w:ascii="Arial" w:hAnsi="Arial" w:cs="Arial"/>
            <w:color w:val="008000"/>
            <w:sz w:val="24"/>
            <w:szCs w:val="24"/>
          </w:rPr>
          <w:t>постановления</w:t>
        </w:r>
      </w:hyperlink>
      <w:r w:rsidRPr="007C6BFF">
        <w:rPr>
          <w:rFonts w:ascii="Arial" w:hAnsi="Arial" w:cs="Arial"/>
          <w:sz w:val="24"/>
          <w:szCs w:val="24"/>
        </w:rPr>
        <w:t xml:space="preserve"> Правительства Российской Федерации от 26 июня 2002 г. N 462 в целях совершенствования системы денежного довольствия военнослужащих и соответствия основных типовых воинских должностей и воинских званий военнослужащих, проходящих военную службу по контракту, государственным должностям федеральной государственной службы и квалификационным разрядам федеральных государственных служащих, тарифный разряд, по которому фактически исчислялся должностной оклад заявителя, стал 18-м, а по занимаемой им должности ранее установленный 8-й тарифный разряд стал соответствовать сначала 16-му, а затем 17-му разряду (т.е. ниже тарифного разряда, по которому фактически исчислялся и выплачивался заявителю оклад по воинской должности).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 xml:space="preserve">Поскольку такие мероприятия по изменению тарифных разрядов должностей военнослужащих, проходящих военную службу по контракту, не носят характера организационно-штатных, предусмотренных </w:t>
      </w:r>
      <w:hyperlink r:id="rId13" w:history="1">
        <w:r w:rsidRPr="007C6BFF">
          <w:rPr>
            <w:rFonts w:ascii="Arial" w:hAnsi="Arial" w:cs="Arial"/>
            <w:color w:val="008000"/>
            <w:sz w:val="24"/>
            <w:szCs w:val="24"/>
          </w:rPr>
          <w:t>подп. "а" п. 4 ст. 34</w:t>
        </w:r>
      </w:hyperlink>
      <w:r w:rsidRPr="007C6BFF">
        <w:rPr>
          <w:rFonts w:ascii="Arial" w:hAnsi="Arial" w:cs="Arial"/>
          <w:sz w:val="24"/>
          <w:szCs w:val="24"/>
        </w:rPr>
        <w:t xml:space="preserve"> вышеназванного Положения, основания для увольнения И. с военной службы отсутствуют.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С учетом того, что по делу не требовалось собирания и дополнительной проверки доказательств, обстоятельства дела установлены достаточно полно и правильно, а судом первой инстанции допущена ошибка в применении норм материального права, судебная коллегия нашла необходимым без передачи дела на новое рассмотрение вынести по нему новое решение, отказав в удовлетворении заявления И.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При наличии у военнослужащего, проходящего военную службу по контракту, нескольких оснований для увольнения с военной службы он увольняется по избранному им основанию.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Военнослужащий Б. в период прохождения военной службы на надводных кораблях получил заболевание, исключающее возможность его дальнейшей службы в плавсоставе. Проходить военную службу на других должностях он отказался и подал по команде рапорт об увольнении в запас в связи с организационно-штатными мероприятиями ввиду признания его военно-врачебной комиссией не годным к военной службе по имеющейся военно-учетной специальности.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Командованием, уволившем Б. в запас по иному основанию, а затем и Североморским гарнизонным военным судом заявителю в удовлетворении этого требования было отказано.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Отменяя решение суда первой инстанции, Северный флотский военный суд указал.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 xml:space="preserve">В соответствии с </w:t>
      </w:r>
      <w:hyperlink r:id="rId14" w:history="1">
        <w:r w:rsidRPr="007C6BFF">
          <w:rPr>
            <w:rFonts w:ascii="Arial" w:hAnsi="Arial" w:cs="Arial"/>
            <w:color w:val="008000"/>
            <w:sz w:val="24"/>
            <w:szCs w:val="24"/>
          </w:rPr>
          <w:t>подп. "а" п. 4 ст. 34</w:t>
        </w:r>
      </w:hyperlink>
      <w:r w:rsidRPr="007C6BFF">
        <w:rPr>
          <w:rFonts w:ascii="Arial" w:hAnsi="Arial" w:cs="Arial"/>
          <w:sz w:val="24"/>
          <w:szCs w:val="24"/>
        </w:rPr>
        <w:t xml:space="preserve"> Положения о порядке прохождения военной службы военнослужащий, проходящий военную службу по контракту, может быть досрочно уволен с военной службы в связи с организационно-штатными мероприятиями при признании его военно-врачебной комиссией не годным к военной службе по </w:t>
      </w:r>
      <w:r w:rsidRPr="007C6BFF">
        <w:rPr>
          <w:rFonts w:ascii="Arial" w:hAnsi="Arial" w:cs="Arial"/>
          <w:sz w:val="24"/>
          <w:szCs w:val="24"/>
        </w:rPr>
        <w:lastRenderedPageBreak/>
        <w:t>имеющейся военно-учетной специальности, но годным к военной службе или годным к военной службе с незначительными ограничениями при отсутствии его согласия с назначением на другую воинскую должность.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Факт наличия у Б. заболевания и признания его не годным к военной службе по имеющейся военно-учетной специальности подтвержден заключением военно-врачебной комиссии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 xml:space="preserve">Согласно </w:t>
      </w:r>
      <w:hyperlink r:id="rId15" w:history="1">
        <w:r w:rsidRPr="007C6BFF">
          <w:rPr>
            <w:rFonts w:ascii="Arial" w:hAnsi="Arial" w:cs="Arial"/>
            <w:color w:val="008000"/>
            <w:sz w:val="24"/>
            <w:szCs w:val="24"/>
          </w:rPr>
          <w:t>п. 11 ст. 34</w:t>
        </w:r>
      </w:hyperlink>
      <w:r w:rsidRPr="007C6BFF">
        <w:rPr>
          <w:rFonts w:ascii="Arial" w:hAnsi="Arial" w:cs="Arial"/>
          <w:sz w:val="24"/>
          <w:szCs w:val="24"/>
        </w:rPr>
        <w:t xml:space="preserve"> вышеназванного Положения при наличии у военнослужащего, проходящего военную службу по контракту, нескольких оснований для увольнения с военной службы он увольняется по избранному им основанию (за исключением случаев, когда увольнение производится по основаниям, предусмотренным </w:t>
      </w:r>
      <w:hyperlink r:id="rId16" w:history="1">
        <w:r w:rsidRPr="007C6BFF">
          <w:rPr>
            <w:rFonts w:ascii="Arial" w:hAnsi="Arial" w:cs="Arial"/>
            <w:color w:val="008000"/>
            <w:sz w:val="24"/>
            <w:szCs w:val="24"/>
          </w:rPr>
          <w:t>подп. "д"</w:t>
        </w:r>
      </w:hyperlink>
      <w:r w:rsidRPr="007C6BFF">
        <w:rPr>
          <w:rFonts w:ascii="Arial" w:hAnsi="Arial" w:cs="Arial"/>
          <w:sz w:val="24"/>
          <w:szCs w:val="24"/>
        </w:rPr>
        <w:t xml:space="preserve"> и </w:t>
      </w:r>
      <w:hyperlink r:id="rId17" w:history="1">
        <w:r w:rsidRPr="007C6BFF">
          <w:rPr>
            <w:rFonts w:ascii="Arial" w:hAnsi="Arial" w:cs="Arial"/>
            <w:color w:val="008000"/>
            <w:sz w:val="24"/>
            <w:szCs w:val="24"/>
          </w:rPr>
          <w:t>"е" п. 1 ст. 51</w:t>
        </w:r>
      </w:hyperlink>
      <w:r w:rsidRPr="007C6BFF">
        <w:rPr>
          <w:rFonts w:ascii="Arial" w:hAnsi="Arial" w:cs="Arial"/>
          <w:sz w:val="24"/>
          <w:szCs w:val="24"/>
        </w:rPr>
        <w:t xml:space="preserve"> Федерального закона "О воинской обязанности и военной службе").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Поскольку Б. изъявил желание быть уволенным с военной службы в связи с организационно-штатными мероприятиями, командование обязано было уволить его по избранному основанию.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В связи с тем, что по вопросам, связанным с проведением организационно-штатных мероприятий в Военно-воздушных силах складывается различная судебная практика, должностные лица ВВС обратились за разъяснением в Военную коллегию Верховного Суда Российской Федерации. В ответе в адрес главнокомандующего ВВС от 17 апреля 2006 г. N 2749 заместителем Председателя Верховного Суда Российской Федерации - председателем Военной коллегии сообщается: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 xml:space="preserve">"На Ваше письмо сообщается, что согласно </w:t>
      </w:r>
      <w:hyperlink r:id="rId18" w:history="1">
        <w:r w:rsidRPr="007C6BFF">
          <w:rPr>
            <w:rFonts w:ascii="Arial" w:hAnsi="Arial" w:cs="Arial"/>
            <w:color w:val="008000"/>
            <w:sz w:val="24"/>
            <w:szCs w:val="24"/>
          </w:rPr>
          <w:t>статье 126</w:t>
        </w:r>
      </w:hyperlink>
      <w:r w:rsidRPr="007C6BFF">
        <w:rPr>
          <w:rFonts w:ascii="Arial" w:hAnsi="Arial" w:cs="Arial"/>
          <w:sz w:val="24"/>
          <w:szCs w:val="24"/>
        </w:rPr>
        <w:t xml:space="preserve"> Конституции Российской Федерации, </w:t>
      </w:r>
      <w:hyperlink r:id="rId19" w:history="1">
        <w:r w:rsidRPr="007C6BFF">
          <w:rPr>
            <w:rFonts w:ascii="Arial" w:hAnsi="Arial" w:cs="Arial"/>
            <w:color w:val="008000"/>
            <w:sz w:val="24"/>
            <w:szCs w:val="24"/>
          </w:rPr>
          <w:t>статье 19</w:t>
        </w:r>
      </w:hyperlink>
      <w:r w:rsidRPr="007C6BFF">
        <w:rPr>
          <w:rFonts w:ascii="Arial" w:hAnsi="Arial" w:cs="Arial"/>
          <w:sz w:val="24"/>
          <w:szCs w:val="24"/>
        </w:rPr>
        <w:t xml:space="preserve"> Федерального конституционного закона "О судебной системе Российской Федерации" и </w:t>
      </w:r>
      <w:hyperlink r:id="rId20" w:history="1">
        <w:r w:rsidRPr="007C6BFF">
          <w:rPr>
            <w:rFonts w:ascii="Arial" w:hAnsi="Arial" w:cs="Arial"/>
            <w:color w:val="008000"/>
            <w:sz w:val="24"/>
            <w:szCs w:val="24"/>
          </w:rPr>
          <w:t>статье 56</w:t>
        </w:r>
      </w:hyperlink>
      <w:r w:rsidRPr="007C6BFF">
        <w:rPr>
          <w:rFonts w:ascii="Arial" w:hAnsi="Arial" w:cs="Arial"/>
          <w:sz w:val="24"/>
          <w:szCs w:val="24"/>
        </w:rPr>
        <w:t xml:space="preserve"> Закона "О судоустройстве РСФСР" Верховный Суд Российской Федерации вправе давать разъяснения только нижестоящим судам общей юрисдикции по вопросам судебной практики.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Поэтому официального разъяснения положений действующего законодательства о досрочном увольнении военнослужащих с военной службы, в том числе в связи с организационно-штатными мероприятиями, о чем Вы просите в своем письме, Военная коллегия Вам дать не вправе.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 xml:space="preserve">Вместе с тем при разрешении поставленного в письме вопроса, по нашему мнению, необходимо иметь в виду, что при осуществлении в воинских частях организационно-штатных мероприятий основания и порядок увольнения военнослужащих с военной службы установлены </w:t>
      </w:r>
      <w:hyperlink r:id="rId21" w:history="1">
        <w:r w:rsidRPr="007C6BFF">
          <w:rPr>
            <w:rFonts w:ascii="Arial" w:hAnsi="Arial" w:cs="Arial"/>
            <w:color w:val="008000"/>
            <w:sz w:val="24"/>
            <w:szCs w:val="24"/>
          </w:rPr>
          <w:t>статьей 34</w:t>
        </w:r>
      </w:hyperlink>
      <w:r w:rsidRPr="007C6BFF">
        <w:rPr>
          <w:rFonts w:ascii="Arial" w:hAnsi="Arial" w:cs="Arial"/>
          <w:sz w:val="24"/>
          <w:szCs w:val="24"/>
        </w:rPr>
        <w:t xml:space="preserve"> Положения о порядке прохождения военной службы. В случае конкуренции норм данной статьи и других статей Положения, в том числе определяющих порядок назначения на воинские должности, при решении вопроса об увольнении применяются специальные нормы, содержащиеся в </w:t>
      </w:r>
      <w:hyperlink r:id="rId22" w:history="1">
        <w:r w:rsidRPr="007C6BFF">
          <w:rPr>
            <w:rFonts w:ascii="Arial" w:hAnsi="Arial" w:cs="Arial"/>
            <w:color w:val="008000"/>
            <w:sz w:val="24"/>
            <w:szCs w:val="24"/>
          </w:rPr>
          <w:t>статье 34</w:t>
        </w:r>
      </w:hyperlink>
      <w:r w:rsidRPr="007C6BFF">
        <w:rPr>
          <w:rFonts w:ascii="Arial" w:hAnsi="Arial" w:cs="Arial"/>
          <w:sz w:val="24"/>
          <w:szCs w:val="24"/>
        </w:rPr>
        <w:t xml:space="preserve"> Положения.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hyperlink r:id="rId23" w:history="1">
        <w:r w:rsidRPr="007C6BFF">
          <w:rPr>
            <w:rFonts w:ascii="Arial" w:hAnsi="Arial" w:cs="Arial"/>
            <w:color w:val="008000"/>
            <w:sz w:val="24"/>
            <w:szCs w:val="24"/>
          </w:rPr>
          <w:t>Подпунктом "а" пункта 4 статьи 34</w:t>
        </w:r>
      </w:hyperlink>
      <w:r w:rsidRPr="007C6BFF">
        <w:rPr>
          <w:rFonts w:ascii="Arial" w:hAnsi="Arial" w:cs="Arial"/>
          <w:sz w:val="24"/>
          <w:szCs w:val="24"/>
        </w:rPr>
        <w:t xml:space="preserve"> Положения установлено, что военнослужащий, проходящий военную службу по контракту, может быть досрочно уволен с военной службы в связи с организационно-штатными мероприятиями и при отсутствии других оснований для увольнения при сокращении занимаемой им воинской должности и отсутствии его согласия с назначением на другую воинскую должность.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Дополнительного условия в виде согласия командования с увольнением указанная правовая норма не содержит.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 xml:space="preserve">Использование в ее конструкции словосочетания "может быть" применительно к увольнению военнослужащего необходимость согласия командования также не подразумевает, а обозначает лишь, что увольнение по рассматриваемому основанию </w:t>
      </w:r>
      <w:r w:rsidRPr="007C6BFF">
        <w:rPr>
          <w:rFonts w:ascii="Arial" w:hAnsi="Arial" w:cs="Arial"/>
          <w:sz w:val="24"/>
          <w:szCs w:val="24"/>
        </w:rPr>
        <w:lastRenderedPageBreak/>
        <w:t>возможно только при обязательной совокупности всех перечисленных в данной норме обстоятельств.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Такими юридически значимыми обстоятельствами являются проведение организационно-штатных мероприятий и сокращение занимаемой военнослужащим воинской должности, а также отсутствие иных оснований для увольнения и согласия военнослужащего с назначением на другую должность.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 xml:space="preserve">В соответствии с </w:t>
      </w:r>
      <w:hyperlink r:id="rId24" w:history="1">
        <w:r w:rsidRPr="007C6BFF">
          <w:rPr>
            <w:rFonts w:ascii="Arial" w:hAnsi="Arial" w:cs="Arial"/>
            <w:color w:val="008000"/>
            <w:sz w:val="24"/>
            <w:szCs w:val="24"/>
          </w:rPr>
          <w:t>подп. "б" п. 15 ст. 11</w:t>
        </w:r>
      </w:hyperlink>
      <w:r w:rsidRPr="007C6BFF">
        <w:rPr>
          <w:rFonts w:ascii="Arial" w:hAnsi="Arial" w:cs="Arial"/>
          <w:sz w:val="24"/>
          <w:szCs w:val="24"/>
        </w:rPr>
        <w:t xml:space="preserve"> Положения назначение военнослужащего на другую равную воинскую должность в связи с организационно-штатными мероприятиями, действительно, осуществляется без его согласия.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 xml:space="preserve">Однако поскольку данная норма </w:t>
      </w:r>
      <w:hyperlink r:id="rId25" w:history="1">
        <w:r w:rsidRPr="007C6BFF">
          <w:rPr>
            <w:rFonts w:ascii="Arial" w:hAnsi="Arial" w:cs="Arial"/>
            <w:color w:val="008000"/>
            <w:sz w:val="24"/>
            <w:szCs w:val="24"/>
          </w:rPr>
          <w:t>Положения</w:t>
        </w:r>
      </w:hyperlink>
      <w:r w:rsidRPr="007C6BFF">
        <w:rPr>
          <w:rFonts w:ascii="Arial" w:hAnsi="Arial" w:cs="Arial"/>
          <w:sz w:val="24"/>
          <w:szCs w:val="24"/>
        </w:rPr>
        <w:t xml:space="preserve"> регулирует иные отношения, связанные с назначением военнослужащих на воинские должности, а </w:t>
      </w:r>
      <w:hyperlink r:id="rId26" w:history="1">
        <w:r w:rsidRPr="007C6BFF">
          <w:rPr>
            <w:rFonts w:ascii="Arial" w:hAnsi="Arial" w:cs="Arial"/>
            <w:color w:val="008000"/>
            <w:sz w:val="24"/>
            <w:szCs w:val="24"/>
          </w:rPr>
          <w:t>статья 34</w:t>
        </w:r>
      </w:hyperlink>
      <w:r w:rsidRPr="007C6BFF">
        <w:rPr>
          <w:rFonts w:ascii="Arial" w:hAnsi="Arial" w:cs="Arial"/>
          <w:sz w:val="24"/>
          <w:szCs w:val="24"/>
        </w:rPr>
        <w:t xml:space="preserve"> Положения - с увольнением военнослужащих с военной службы, по мнению Военной коллегии применению в данном случае (после обращения военнослужащего с рапортом об увольнении) подлежит последняя из указанных статьей.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Именно таким образом в настоящее время складывается практика рассмотрения военными судами дел данной категории, в основе которой лежит тезис об обязательности согласия военнослужащего с назначением на другую воинскую должность как гарантии соблюдения его прав (в том числе на досрочное увольнение) при сокращении занимаемой должности.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Что касается иных решений, принимаемых военными судами по гражданским делам, то положенный в их основу подход правильным признан быть не может. Обоснованность таких решений проверяется в установленном процессуальным законом порядке по каждому конкретному делу в отдельности".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 xml:space="preserve">А.Н. </w:t>
      </w:r>
      <w:proofErr w:type="spellStart"/>
      <w:r w:rsidRPr="007C6BFF">
        <w:rPr>
          <w:rFonts w:ascii="Arial" w:hAnsi="Arial" w:cs="Arial"/>
          <w:sz w:val="24"/>
          <w:szCs w:val="24"/>
        </w:rPr>
        <w:t>Шимкин</w:t>
      </w:r>
      <w:proofErr w:type="spellEnd"/>
      <w:r w:rsidRPr="007C6BFF">
        <w:rPr>
          <w:rFonts w:ascii="Arial" w:hAnsi="Arial" w:cs="Arial"/>
          <w:sz w:val="24"/>
          <w:szCs w:val="24"/>
        </w:rPr>
        <w:t>,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sz w:val="24"/>
          <w:szCs w:val="24"/>
        </w:rPr>
      </w:pPr>
      <w:proofErr w:type="gramStart"/>
      <w:r w:rsidRPr="007C6BFF">
        <w:rPr>
          <w:rFonts w:ascii="Arial" w:hAnsi="Arial" w:cs="Arial"/>
          <w:sz w:val="24"/>
          <w:szCs w:val="24"/>
        </w:rPr>
        <w:t>заместитель</w:t>
      </w:r>
      <w:proofErr w:type="gramEnd"/>
      <w:r w:rsidRPr="007C6BFF">
        <w:rPr>
          <w:rFonts w:ascii="Arial" w:hAnsi="Arial" w:cs="Arial"/>
          <w:sz w:val="24"/>
          <w:szCs w:val="24"/>
        </w:rPr>
        <w:t xml:space="preserve"> начальника Главного штаба ВВС по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sz w:val="24"/>
          <w:szCs w:val="24"/>
        </w:rPr>
      </w:pPr>
      <w:proofErr w:type="gramStart"/>
      <w:r w:rsidRPr="007C6BFF">
        <w:rPr>
          <w:rFonts w:ascii="Arial" w:hAnsi="Arial" w:cs="Arial"/>
          <w:sz w:val="24"/>
          <w:szCs w:val="24"/>
        </w:rPr>
        <w:t>организационно</w:t>
      </w:r>
      <w:proofErr w:type="gramEnd"/>
      <w:r w:rsidRPr="007C6BFF">
        <w:rPr>
          <w:rFonts w:ascii="Arial" w:hAnsi="Arial" w:cs="Arial"/>
          <w:sz w:val="24"/>
          <w:szCs w:val="24"/>
        </w:rPr>
        <w:t>-мобилизационной работе,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sz w:val="24"/>
          <w:szCs w:val="24"/>
        </w:rPr>
      </w:pPr>
      <w:proofErr w:type="gramStart"/>
      <w:r w:rsidRPr="007C6BFF">
        <w:rPr>
          <w:rFonts w:ascii="Arial" w:hAnsi="Arial" w:cs="Arial"/>
          <w:sz w:val="24"/>
          <w:szCs w:val="24"/>
        </w:rPr>
        <w:t>начальник</w:t>
      </w:r>
      <w:proofErr w:type="gramEnd"/>
      <w:r w:rsidRPr="007C6BFF">
        <w:rPr>
          <w:rFonts w:ascii="Arial" w:hAnsi="Arial" w:cs="Arial"/>
          <w:sz w:val="24"/>
          <w:szCs w:val="24"/>
        </w:rPr>
        <w:t xml:space="preserve"> организационно-мобилизационного управления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Главного штаба ВВС, генерал-майор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П.И. Гаврюшенко,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sz w:val="24"/>
          <w:szCs w:val="24"/>
        </w:rPr>
      </w:pPr>
      <w:proofErr w:type="gramStart"/>
      <w:r w:rsidRPr="007C6BFF">
        <w:rPr>
          <w:rFonts w:ascii="Arial" w:hAnsi="Arial" w:cs="Arial"/>
          <w:sz w:val="24"/>
          <w:szCs w:val="24"/>
        </w:rPr>
        <w:t>начальник</w:t>
      </w:r>
      <w:proofErr w:type="gramEnd"/>
      <w:r w:rsidRPr="007C6BFF">
        <w:rPr>
          <w:rFonts w:ascii="Arial" w:hAnsi="Arial" w:cs="Arial"/>
          <w:sz w:val="24"/>
          <w:szCs w:val="24"/>
        </w:rPr>
        <w:t xml:space="preserve"> отдела военного законодательства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(Военно-воздушных сил), полковник юстиции,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sz w:val="24"/>
          <w:szCs w:val="24"/>
        </w:rPr>
      </w:pPr>
      <w:proofErr w:type="gramStart"/>
      <w:r w:rsidRPr="007C6BFF">
        <w:rPr>
          <w:rFonts w:ascii="Arial" w:hAnsi="Arial" w:cs="Arial"/>
          <w:sz w:val="24"/>
          <w:szCs w:val="24"/>
        </w:rPr>
        <w:t>кандидат</w:t>
      </w:r>
      <w:proofErr w:type="gramEnd"/>
      <w:r w:rsidRPr="007C6BFF">
        <w:rPr>
          <w:rFonts w:ascii="Arial" w:hAnsi="Arial" w:cs="Arial"/>
          <w:sz w:val="24"/>
          <w:szCs w:val="24"/>
        </w:rPr>
        <w:t xml:space="preserve"> юридических наук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О.В. Грибанов,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sz w:val="24"/>
          <w:szCs w:val="24"/>
        </w:rPr>
      </w:pPr>
      <w:proofErr w:type="gramStart"/>
      <w:r w:rsidRPr="007C6BFF">
        <w:rPr>
          <w:rFonts w:ascii="Arial" w:hAnsi="Arial" w:cs="Arial"/>
          <w:sz w:val="24"/>
          <w:szCs w:val="24"/>
        </w:rPr>
        <w:t>старший</w:t>
      </w:r>
      <w:proofErr w:type="gramEnd"/>
      <w:r w:rsidRPr="007C6BFF">
        <w:rPr>
          <w:rFonts w:ascii="Arial" w:hAnsi="Arial" w:cs="Arial"/>
          <w:sz w:val="24"/>
          <w:szCs w:val="24"/>
        </w:rPr>
        <w:t xml:space="preserve"> юрисконсульт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sz w:val="24"/>
          <w:szCs w:val="24"/>
        </w:rPr>
      </w:pPr>
      <w:proofErr w:type="gramStart"/>
      <w:r w:rsidRPr="007C6BFF">
        <w:rPr>
          <w:rFonts w:ascii="Arial" w:hAnsi="Arial" w:cs="Arial"/>
          <w:sz w:val="24"/>
          <w:szCs w:val="24"/>
        </w:rPr>
        <w:t>организационно</w:t>
      </w:r>
      <w:proofErr w:type="gramEnd"/>
      <w:r w:rsidRPr="007C6BFF">
        <w:rPr>
          <w:rFonts w:ascii="Arial" w:hAnsi="Arial" w:cs="Arial"/>
          <w:sz w:val="24"/>
          <w:szCs w:val="24"/>
        </w:rPr>
        <w:t>-мобилизационного управления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Главного штаба ВВС, подполковник юстиции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C6BFF">
        <w:rPr>
          <w:rFonts w:ascii="Arial" w:hAnsi="Arial" w:cs="Arial"/>
          <w:sz w:val="24"/>
          <w:szCs w:val="24"/>
        </w:rPr>
        <w:t>"Право в Вооруженных Силах", N 8, август 2006 г.</w:t>
      </w:r>
    </w:p>
    <w:p w:rsidR="007C6BFF" w:rsidRPr="007C6BFF" w:rsidRDefault="007C6BFF" w:rsidP="007C6B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9004F" w:rsidRDefault="0039004F"/>
    <w:sectPr w:rsidR="0039004F" w:rsidSect="005E405D">
      <w:pgSz w:w="11906" w:h="16838"/>
      <w:pgMar w:top="1440" w:right="850" w:bottom="144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BFF"/>
    <w:rsid w:val="000422B0"/>
    <w:rsid w:val="00043B1C"/>
    <w:rsid w:val="000613FE"/>
    <w:rsid w:val="00066E90"/>
    <w:rsid w:val="00117A9B"/>
    <w:rsid w:val="00226BB8"/>
    <w:rsid w:val="00237266"/>
    <w:rsid w:val="0039004F"/>
    <w:rsid w:val="003C0A9B"/>
    <w:rsid w:val="003C2DAD"/>
    <w:rsid w:val="004639C6"/>
    <w:rsid w:val="005A6F24"/>
    <w:rsid w:val="006843CD"/>
    <w:rsid w:val="006D6EAB"/>
    <w:rsid w:val="007C6BFF"/>
    <w:rsid w:val="00871DA8"/>
    <w:rsid w:val="008B2127"/>
    <w:rsid w:val="009950CB"/>
    <w:rsid w:val="009D0894"/>
    <w:rsid w:val="009E645C"/>
    <w:rsid w:val="00A439DF"/>
    <w:rsid w:val="00BE4D58"/>
    <w:rsid w:val="00C96DAC"/>
    <w:rsid w:val="00D217FA"/>
    <w:rsid w:val="00D742B9"/>
    <w:rsid w:val="00E007E2"/>
    <w:rsid w:val="00EC2C9D"/>
    <w:rsid w:val="00F34D3F"/>
    <w:rsid w:val="00F46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A4C611-38C9-4D36-96FC-6EE2BED1D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0912.1000" TargetMode="External"/><Relationship Id="rId13" Type="http://schemas.openxmlformats.org/officeDocument/2006/relationships/hyperlink" Target="garantF1://80912.34041" TargetMode="External"/><Relationship Id="rId18" Type="http://schemas.openxmlformats.org/officeDocument/2006/relationships/hyperlink" Target="garantF1://10003000.126" TargetMode="External"/><Relationship Id="rId26" Type="http://schemas.openxmlformats.org/officeDocument/2006/relationships/hyperlink" Target="garantF1://80912.3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garantF1://80912.34" TargetMode="External"/><Relationship Id="rId7" Type="http://schemas.openxmlformats.org/officeDocument/2006/relationships/hyperlink" Target="garantF1://80912.11152" TargetMode="External"/><Relationship Id="rId12" Type="http://schemas.openxmlformats.org/officeDocument/2006/relationships/hyperlink" Target="garantF1://84613.0" TargetMode="External"/><Relationship Id="rId17" Type="http://schemas.openxmlformats.org/officeDocument/2006/relationships/hyperlink" Target="garantF1://78405.5106" TargetMode="External"/><Relationship Id="rId25" Type="http://schemas.openxmlformats.org/officeDocument/2006/relationships/hyperlink" Target="garantF1://80912.11152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78405.5105" TargetMode="External"/><Relationship Id="rId20" Type="http://schemas.openxmlformats.org/officeDocument/2006/relationships/hyperlink" Target="garantF1://10001001.56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80912.34041" TargetMode="External"/><Relationship Id="rId11" Type="http://schemas.openxmlformats.org/officeDocument/2006/relationships/hyperlink" Target="garantF1://80912.34041" TargetMode="External"/><Relationship Id="rId24" Type="http://schemas.openxmlformats.org/officeDocument/2006/relationships/hyperlink" Target="garantF1://80912.11152" TargetMode="External"/><Relationship Id="rId5" Type="http://schemas.openxmlformats.org/officeDocument/2006/relationships/hyperlink" Target="garantF1://80912.34041" TargetMode="External"/><Relationship Id="rId15" Type="http://schemas.openxmlformats.org/officeDocument/2006/relationships/hyperlink" Target="garantF1://80912.3411" TargetMode="External"/><Relationship Id="rId23" Type="http://schemas.openxmlformats.org/officeDocument/2006/relationships/hyperlink" Target="garantF1://80912.34041" TargetMode="External"/><Relationship Id="rId28" Type="http://schemas.openxmlformats.org/officeDocument/2006/relationships/theme" Target="theme/theme1.xml"/><Relationship Id="rId10" Type="http://schemas.openxmlformats.org/officeDocument/2006/relationships/hyperlink" Target="garantF1://78405.5121" TargetMode="External"/><Relationship Id="rId19" Type="http://schemas.openxmlformats.org/officeDocument/2006/relationships/hyperlink" Target="garantF1://10035300.19" TargetMode="External"/><Relationship Id="rId4" Type="http://schemas.openxmlformats.org/officeDocument/2006/relationships/hyperlink" Target="garantF1://78405.5121" TargetMode="External"/><Relationship Id="rId9" Type="http://schemas.openxmlformats.org/officeDocument/2006/relationships/hyperlink" Target="garantF1://80912.34" TargetMode="External"/><Relationship Id="rId14" Type="http://schemas.openxmlformats.org/officeDocument/2006/relationships/hyperlink" Target="garantF1://80912.34041" TargetMode="External"/><Relationship Id="rId22" Type="http://schemas.openxmlformats.org/officeDocument/2006/relationships/hyperlink" Target="garantF1://80912.34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1914</Words>
  <Characters>10916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2</cp:revision>
  <dcterms:created xsi:type="dcterms:W3CDTF">2013-07-09T15:32:00Z</dcterms:created>
  <dcterms:modified xsi:type="dcterms:W3CDTF">2013-07-09T15:46:00Z</dcterms:modified>
</cp:coreProperties>
</file>