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spellStart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Предс</w:t>
      </w:r>
      <w:proofErr w:type="spellEnd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. </w:t>
      </w:r>
      <w:proofErr w:type="spellStart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Дибанов</w:t>
      </w:r>
      <w:proofErr w:type="spellEnd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В.М.                                                      копия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ОПРЕДЕЛЕНИЕ № 203 -АГ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27 марта 2014 года                                       г. Санкт-Петербург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ЛЕНИНГРАДСКИЙ ОКРУЖНОЙ ВОЕННЫЙ СУД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         в составе: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3"/>
        <w:gridCol w:w="1389"/>
      </w:tblGrid>
      <w:tr w:rsidR="00F74C4D" w:rsidRPr="00F74C4D" w:rsidTr="00F74C4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  <w:hideMark/>
          </w:tcPr>
          <w:p w:rsidR="00F74C4D" w:rsidRPr="00F74C4D" w:rsidRDefault="00F74C4D" w:rsidP="00F74C4D">
            <w:pPr>
              <w:spacing w:after="0" w:line="252" w:lineRule="atLeast"/>
              <w:ind w:firstLine="720"/>
              <w:jc w:val="center"/>
              <w:rPr>
                <w:rFonts w:ascii="Arial" w:eastAsia="Times New Roman" w:hAnsi="Arial" w:cs="Arial"/>
                <w:color w:val="555555"/>
                <w:sz w:val="17"/>
                <w:szCs w:val="17"/>
                <w:lang w:eastAsia="ru-RU"/>
              </w:rPr>
            </w:pPr>
            <w:r w:rsidRPr="00F74C4D">
              <w:rPr>
                <w:rFonts w:ascii="Arial" w:eastAsia="Times New Roman" w:hAnsi="Arial" w:cs="Arial"/>
                <w:color w:val="555555"/>
                <w:sz w:val="17"/>
                <w:szCs w:val="17"/>
                <w:lang w:eastAsia="ru-RU"/>
              </w:rPr>
              <w:t>председательствующего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  <w:hideMark/>
          </w:tcPr>
          <w:p w:rsidR="00F74C4D" w:rsidRPr="00F74C4D" w:rsidRDefault="00F74C4D" w:rsidP="00F74C4D">
            <w:pPr>
              <w:spacing w:after="0" w:line="252" w:lineRule="atLeast"/>
              <w:ind w:firstLine="720"/>
              <w:rPr>
                <w:rFonts w:ascii="Arial" w:eastAsia="Times New Roman" w:hAnsi="Arial" w:cs="Arial"/>
                <w:color w:val="555555"/>
                <w:sz w:val="17"/>
                <w:szCs w:val="17"/>
                <w:lang w:eastAsia="ru-RU"/>
              </w:rPr>
            </w:pPr>
            <w:r w:rsidRPr="00F74C4D">
              <w:rPr>
                <w:rFonts w:ascii="Arial" w:eastAsia="Times New Roman" w:hAnsi="Arial" w:cs="Arial"/>
                <w:color w:val="555555"/>
                <w:sz w:val="17"/>
                <w:szCs w:val="17"/>
                <w:lang w:eastAsia="ru-RU"/>
              </w:rPr>
              <w:t>Гогина А.В.,</w:t>
            </w:r>
          </w:p>
        </w:tc>
      </w:tr>
      <w:tr w:rsidR="00F74C4D" w:rsidRPr="00F74C4D" w:rsidTr="00F74C4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  <w:hideMark/>
          </w:tcPr>
          <w:p w:rsidR="00F74C4D" w:rsidRPr="00F74C4D" w:rsidRDefault="00F74C4D" w:rsidP="00F74C4D">
            <w:pPr>
              <w:spacing w:after="0" w:line="252" w:lineRule="atLeast"/>
              <w:ind w:firstLine="720"/>
              <w:jc w:val="right"/>
              <w:rPr>
                <w:rFonts w:ascii="Arial" w:eastAsia="Times New Roman" w:hAnsi="Arial" w:cs="Arial"/>
                <w:color w:val="555555"/>
                <w:sz w:val="17"/>
                <w:szCs w:val="17"/>
                <w:lang w:eastAsia="ru-RU"/>
              </w:rPr>
            </w:pPr>
            <w:r w:rsidRPr="00F74C4D">
              <w:rPr>
                <w:rFonts w:ascii="Arial" w:eastAsia="Times New Roman" w:hAnsi="Arial" w:cs="Arial"/>
                <w:color w:val="555555"/>
                <w:sz w:val="17"/>
                <w:szCs w:val="17"/>
                <w:lang w:eastAsia="ru-RU"/>
              </w:rPr>
              <w:t>судей: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  <w:hideMark/>
          </w:tcPr>
          <w:p w:rsidR="00F74C4D" w:rsidRPr="00F74C4D" w:rsidRDefault="00F74C4D" w:rsidP="00F74C4D">
            <w:pPr>
              <w:spacing w:after="0" w:line="252" w:lineRule="atLeast"/>
              <w:ind w:firstLine="720"/>
              <w:rPr>
                <w:rFonts w:ascii="Arial" w:eastAsia="Times New Roman" w:hAnsi="Arial" w:cs="Arial"/>
                <w:color w:val="555555"/>
                <w:sz w:val="17"/>
                <w:szCs w:val="17"/>
                <w:lang w:eastAsia="ru-RU"/>
              </w:rPr>
            </w:pPr>
            <w:r w:rsidRPr="00F74C4D">
              <w:rPr>
                <w:rFonts w:ascii="Arial" w:eastAsia="Times New Roman" w:hAnsi="Arial" w:cs="Arial"/>
                <w:color w:val="555555"/>
                <w:sz w:val="17"/>
                <w:szCs w:val="17"/>
                <w:lang w:eastAsia="ru-RU"/>
              </w:rPr>
              <w:t>Лазарева Е.В.,</w:t>
            </w:r>
          </w:p>
        </w:tc>
      </w:tr>
      <w:tr w:rsidR="00F74C4D" w:rsidRPr="00F74C4D" w:rsidTr="00F74C4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  <w:hideMark/>
          </w:tcPr>
          <w:p w:rsidR="00F74C4D" w:rsidRPr="00F74C4D" w:rsidRDefault="00F74C4D" w:rsidP="00F74C4D">
            <w:pPr>
              <w:spacing w:after="0" w:line="252" w:lineRule="atLeast"/>
              <w:rPr>
                <w:rFonts w:ascii="Arial" w:eastAsia="Times New Roman" w:hAnsi="Arial" w:cs="Arial"/>
                <w:color w:val="555555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  <w:hideMark/>
          </w:tcPr>
          <w:p w:rsidR="00F74C4D" w:rsidRPr="00F74C4D" w:rsidRDefault="00F74C4D" w:rsidP="00F74C4D">
            <w:pPr>
              <w:spacing w:after="0" w:line="252" w:lineRule="atLeast"/>
              <w:ind w:firstLine="720"/>
              <w:rPr>
                <w:rFonts w:ascii="Arial" w:eastAsia="Times New Roman" w:hAnsi="Arial" w:cs="Arial"/>
                <w:color w:val="555555"/>
                <w:sz w:val="17"/>
                <w:szCs w:val="17"/>
                <w:lang w:eastAsia="ru-RU"/>
              </w:rPr>
            </w:pPr>
            <w:r w:rsidRPr="00F74C4D">
              <w:rPr>
                <w:rFonts w:ascii="Arial" w:eastAsia="Times New Roman" w:hAnsi="Arial" w:cs="Arial"/>
                <w:color w:val="555555"/>
                <w:sz w:val="17"/>
                <w:szCs w:val="17"/>
                <w:lang w:eastAsia="ru-RU"/>
              </w:rPr>
              <w:t>Ершова К.Г.,</w:t>
            </w:r>
          </w:p>
        </w:tc>
      </w:tr>
      <w:tr w:rsidR="00F74C4D" w:rsidRPr="00F74C4D" w:rsidTr="00F74C4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  <w:hideMark/>
          </w:tcPr>
          <w:p w:rsidR="00F74C4D" w:rsidRPr="00F74C4D" w:rsidRDefault="00F74C4D" w:rsidP="00F74C4D">
            <w:pPr>
              <w:spacing w:after="0" w:line="252" w:lineRule="atLeast"/>
              <w:ind w:firstLine="720"/>
              <w:jc w:val="right"/>
              <w:rPr>
                <w:rFonts w:ascii="Arial" w:eastAsia="Times New Roman" w:hAnsi="Arial" w:cs="Arial"/>
                <w:color w:val="555555"/>
                <w:sz w:val="17"/>
                <w:szCs w:val="17"/>
                <w:lang w:eastAsia="ru-RU"/>
              </w:rPr>
            </w:pPr>
            <w:r w:rsidRPr="00F74C4D">
              <w:rPr>
                <w:rFonts w:ascii="Arial" w:eastAsia="Times New Roman" w:hAnsi="Arial" w:cs="Arial"/>
                <w:color w:val="555555"/>
                <w:sz w:val="17"/>
                <w:szCs w:val="17"/>
                <w:lang w:eastAsia="ru-RU"/>
              </w:rPr>
              <w:t>при секретаре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  <w:hideMark/>
          </w:tcPr>
          <w:p w:rsidR="00F74C4D" w:rsidRPr="00F74C4D" w:rsidRDefault="00F74C4D" w:rsidP="00F74C4D">
            <w:pPr>
              <w:spacing w:after="0" w:line="252" w:lineRule="atLeast"/>
              <w:ind w:firstLine="720"/>
              <w:rPr>
                <w:rFonts w:ascii="Arial" w:eastAsia="Times New Roman" w:hAnsi="Arial" w:cs="Arial"/>
                <w:color w:val="555555"/>
                <w:sz w:val="17"/>
                <w:szCs w:val="17"/>
                <w:lang w:eastAsia="ru-RU"/>
              </w:rPr>
            </w:pPr>
            <w:proofErr w:type="gramStart"/>
            <w:r w:rsidRPr="00F74C4D">
              <w:rPr>
                <w:rFonts w:ascii="Arial" w:eastAsia="Times New Roman" w:hAnsi="Arial" w:cs="Arial"/>
                <w:color w:val="555555"/>
                <w:sz w:val="17"/>
                <w:szCs w:val="17"/>
                <w:lang w:eastAsia="ru-RU"/>
              </w:rPr>
              <w:t>Давыдове</w:t>
            </w:r>
            <w:proofErr w:type="gramEnd"/>
            <w:r w:rsidRPr="00F74C4D">
              <w:rPr>
                <w:rFonts w:ascii="Arial" w:eastAsia="Times New Roman" w:hAnsi="Arial" w:cs="Arial"/>
                <w:color w:val="555555"/>
                <w:sz w:val="17"/>
                <w:szCs w:val="17"/>
                <w:lang w:eastAsia="ru-RU"/>
              </w:rPr>
              <w:t xml:space="preserve"> А.А.,</w:t>
            </w:r>
          </w:p>
        </w:tc>
      </w:tr>
    </w:tbl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рассмотрел в судебном заседании частную жалобу руководителя Федерального казенного учреждения «Управление финансового обеспечения Министерства обороны Российской Федерации по городу Санкт-Петербургу, Ленинградской области и Республике Карелия» (далее - УФО) на определение Санкт-Петербургского гарнизонного военного суда от 11 ноября 2013 года о замене стороны по гражданскому делу по заявлению Спивакова Олега Николаевича.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Заслушав доклад судьи Ершова К.Г., окружной военный суд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УСТАНОВИЛ: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gramStart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Гарнизонный военный суд удовлетворил заявление Спивакова, взыскав с ФГУП «Строительное управление Ленинградского военного округа Министерства обороны Российской Федерации» (далее - СУ </w:t>
      </w:r>
      <w:proofErr w:type="spellStart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ЛенВО</w:t>
      </w:r>
      <w:proofErr w:type="spellEnd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) в его пользу денежное довольствие за период с июля 2006 года по 30 апреля 2009 года в размере 533705 рублей 77 копеек, убытки от его несвоевременной выплаты - 238339 рублей 55 копеек, материальную помощь за 2006 и 2007 годы - 24272</w:t>
      </w:r>
      <w:proofErr w:type="gramEnd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рублей, убытки, связанные с ее несвоевременной выплатой, - 8008 рублей, компенсацию на санаторно-курортное лечение за 2006-2008 годы - 2700 рублей, а также судебные расходы - 500 рублей.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08 октября 2013 года Спиваков обратился в суд с заявлением об индексации присужденных ему решением гарнизонного военного суда от 10 сентября 2009 года сумм за период с сентября 2009 года по 31 декабря 2012 года.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Рассматривая поступившее заявление, определением Санкт-Петербургского гарнизонного военного суда от 11 ноября 2013 года в установленном решением суда правоотношении была произведена замена стороны: СУ </w:t>
      </w:r>
      <w:proofErr w:type="spellStart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ЛенВО</w:t>
      </w:r>
      <w:proofErr w:type="spellEnd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правопреемником - филиалом №1 УФО.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В обоснование принятого решения суд, ссылаясь на положение о Министерстве обороны РФ, утвержденное Указом Президента РФ от 16 августа 2004 года №1082, указал, что в результате реформирования финансовое обеспечение воинских частей было передано в УФО.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Установив, что взысканные по решению суда с СУ </w:t>
      </w:r>
      <w:proofErr w:type="spellStart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ЛенВО</w:t>
      </w:r>
      <w:proofErr w:type="spellEnd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денежные средства были выплачены заявителю в Филиале №1 УФО, в котором Спиваков состоял на денежном довольствии после зачисления </w:t>
      </w:r>
      <w:proofErr w:type="gramStart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его</w:t>
      </w:r>
      <w:proofErr w:type="gramEnd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в распоряжение командующего войсками Западного военного округа, суд заменил выбывшую в связи с реорганизацией сторону.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В частной жалобе руководитель УФО, указывая на допущенные судом нарушения норм материального и процессуального права, просит обжалуемое определение отменить и отказать в замене СУ </w:t>
      </w:r>
      <w:proofErr w:type="spellStart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ЛенВО</w:t>
      </w:r>
      <w:proofErr w:type="spellEnd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правопреемником.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При этом </w:t>
      </w:r>
      <w:proofErr w:type="spellStart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Маковеева</w:t>
      </w:r>
      <w:proofErr w:type="spellEnd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В.Н. указала, что Филиал №1 УФО не является юридическим лицом и, в силу пункта 3 статьи 55 ГК РФ, не может являться стороной в суде.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По мнению </w:t>
      </w:r>
      <w:proofErr w:type="gramStart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должностного</w:t>
      </w:r>
      <w:proofErr w:type="gramEnd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лица, вывод суда первой инстанции относительно выбытия СУ </w:t>
      </w:r>
      <w:proofErr w:type="spellStart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ЛенВО</w:t>
      </w:r>
      <w:proofErr w:type="spellEnd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в качестве стороны в спорном правоотношении противоречит материалам дела, согласно которым какие-либо изменения относительно СУ </w:t>
      </w:r>
      <w:proofErr w:type="spellStart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ЛенВО</w:t>
      </w:r>
      <w:proofErr w:type="spellEnd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в единый государственный реестр юридических лиц не вносились.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Кроме того, автор жалобы отмечает, что причиной длительного неисполнения решения суда является бездействие заявителя.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Рассмотрев материалы дела и обсудив доводы частной жалобы, окружной военный суд не находит законных оснований для её удовлетворения.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В соответствии с приказом Министра обороны РФ от 22 сентября 2010 года №1266, финансирование воинских частей Министерства обороны РФ с 1 января 2011 года осуществляется через управления (отделы) финансового обеспечения Минобороны России по субъектам Российской Федерации.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Как видно из материалов дела, приказом статс-секретаря - заместителя Министра обороны РФ от 28 октября 2010 года №244 Спиваков был зачислен в распоряжение командующего войсками Западного военного округа, а на финансовое обеспечение - в Филиал №1 УФО.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lastRenderedPageBreak/>
        <w:t>Таким образом, именно на Филиал №1 была возложена обязанность по обеспечению заявителя денежным довольствием, включая и имеющуюся задолженность по выплатам.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gramStart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Осуществление расходов, связанных с выплатой денежного довольствия военнослужащим, производится соответствующими воинскими частями (федеральными казенными учреждениями) федеральных органов исполнительной власти, в которых федеральным законом предусмотрена военная служба, в порядке, установленном для выплаты денежного довольствия, и в пределах лимитов бюджетных обязательств и объемов финансирования расходов на выплату денежного довольствия, учтенных на лицевом счете получателя средств федерального бюджета.</w:t>
      </w:r>
      <w:proofErr w:type="gramEnd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При этом выплата денежного довольствия производится за счет бюджетной сметы Министерства обороны РФ по статье "денежное довольствие военнослужащих".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gramStart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Из разъяснений порядка реализации решений судов о выплатах военнослужащим, проходившим военную службу в ФГУП, содержащихся в письме заместителя министра обороны РФ по ФЭР от 18 мая 2010 года № 182/1/1/974, видно, что выплата денежного довольствия военнослужащим, зачисленным в распоряжение, к которым относится и заявитель, должна производиться в той воинской части, в распоряжение командира которой он зачислен.</w:t>
      </w:r>
      <w:proofErr w:type="gramEnd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Таким же порядком должна производиться выплата денежного довольствия военнослужащим, уволенным с военной службы.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При этом</w:t>
      </w:r>
      <w:proofErr w:type="gramStart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,</w:t>
      </w:r>
      <w:proofErr w:type="gramEnd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денежное довольствие подлежит выплате за счет бюджетных средств, выделенных этим воинским частям, со дня, следующего за днем, указанным в денежном аттестате.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Письмом директора Департамента финансового обеспечения МО РФ от 18 октября 2012 года №184/2/2472 руководителю УФО было предписано обеспечить исполнение названного выше судебного постановления, для чего, в том числе, обратиться в суд с заявлением о замене стороны.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Указанное свидетельствует о фактическом переводе долговых обязательств СУ </w:t>
      </w:r>
      <w:proofErr w:type="spellStart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ЛенВО</w:t>
      </w:r>
      <w:proofErr w:type="spellEnd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по выплате заявителю денежного довольствия на УФО. Именно поэтому во исполнение решения Санкт-Петербургского гарнизонного военного суда от 10 сентября 2010 года, Филиал №1 УФО в декабре 2012 года и выплатил Спивакову взысканные в его пользу денежные средства.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Таким образом, Филиал №1 УФО на основании полученных указаний фактически принял на себя обязательство по исполнению судебного постановления, не смотря на то, что СУ </w:t>
      </w:r>
      <w:proofErr w:type="spellStart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ЛенВО</w:t>
      </w:r>
      <w:proofErr w:type="spellEnd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до настоящего времени не ликвидировано.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При таких обстоятельствах следует согласиться с принятым судом первой инстанции решением о замене в порядке части 1 статьи 44 ГПК РФ стороны по делу.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Поскольку настоящее гражданское дело было рассмотрено в порядке главы 25 ГПК РФ, довод автора жалобы о том, что Филиал №1 УФО не может являться ответчиком по делу, в данном конкретном случае правового значения не имеет.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Иные доводы жалобы существенными не являются и могут служить основанием для отмены правильного по существу судебного постановления.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На основании </w:t>
      </w:r>
      <w:proofErr w:type="gramStart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изложенного</w:t>
      </w:r>
      <w:proofErr w:type="gramEnd"/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, руководствуясь ст. 374 ГПК РФ, окружной военный суд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ОПРЕДЕЛИЛ:</w:t>
      </w:r>
    </w:p>
    <w:p w:rsidR="00F74C4D" w:rsidRPr="00F74C4D" w:rsidRDefault="00F74C4D" w:rsidP="00F74C4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74C4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Определение Санкт-Петербургского гарнизонного военного суда от 11 ноября 2013 года о замене стороны по гражданскому делу по заявлению Спивакова Олега Николаевича оставить без изменения, а частную жалобу руководителя Федерального казенного учреждения «Управление финансового обеспечения Министерства обороны Российской Федерации по городу Санкт-Петербургу, Ленинградской области и Республике Карелия» - без удовлетворения.</w:t>
      </w:r>
    </w:p>
    <w:p w:rsidR="00986304" w:rsidRDefault="00F74C4D">
      <w:bookmarkStart w:id="0" w:name="_GoBack"/>
      <w:bookmarkEnd w:id="0"/>
    </w:p>
    <w:sectPr w:rsidR="009863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BCE"/>
    <w:rsid w:val="004C3231"/>
    <w:rsid w:val="004E5178"/>
    <w:rsid w:val="005E2814"/>
    <w:rsid w:val="00F11BCE"/>
    <w:rsid w:val="00F74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5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1074</Words>
  <Characters>6125</Characters>
  <Application>Microsoft Office Word</Application>
  <DocSecurity>0</DocSecurity>
  <Lines>51</Lines>
  <Paragraphs>14</Paragraphs>
  <ScaleCrop>false</ScaleCrop>
  <Company>Krokoz™</Company>
  <LinksUpToDate>false</LinksUpToDate>
  <CharactersWithSpaces>7185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</dc:creator>
  <cp:keywords/>
  <dc:description/>
  <cp:lastModifiedBy>Рома</cp:lastModifiedBy>
  <cp:revision>2</cp:revision>
  <dcterms:created xsi:type="dcterms:W3CDTF">2014-05-10T13:20:00Z</dcterms:created>
  <dcterms:modified xsi:type="dcterms:W3CDTF">2014-05-10T13:20:00Z</dcterms:modified>
</cp:coreProperties>
</file>