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FFB" w:rsidRDefault="00462FFB">
      <w:pPr>
        <w:rPr>
          <w:lang w:val="en-US"/>
        </w:rPr>
      </w:pPr>
    </w:p>
    <w:p w:rsidR="00AB458E" w:rsidRDefault="00AB458E">
      <w:pPr>
        <w:rPr>
          <w:lang w:val="en-US"/>
        </w:rPr>
      </w:pPr>
    </w:p>
    <w:p w:rsidR="00AB458E" w:rsidRDefault="00AB458E">
      <w:pPr>
        <w:rPr>
          <w:lang w:val="en-US"/>
        </w:rPr>
      </w:pPr>
    </w:p>
    <w:p w:rsidR="00AB458E" w:rsidRPr="00AB458E" w:rsidRDefault="00AB458E" w:rsidP="00AB458E">
      <w:pPr>
        <w:ind w:left="-360"/>
        <w:rPr>
          <w:b/>
          <w:sz w:val="28"/>
          <w:szCs w:val="28"/>
        </w:rPr>
      </w:pPr>
      <w:r w:rsidRPr="00AB458E">
        <w:rPr>
          <w:sz w:val="28"/>
          <w:szCs w:val="28"/>
        </w:rPr>
        <w:t xml:space="preserve">                                               </w:t>
      </w:r>
      <w:r w:rsidRPr="00AB458E">
        <w:rPr>
          <w:b/>
          <w:sz w:val="28"/>
          <w:szCs w:val="28"/>
        </w:rPr>
        <w:t xml:space="preserve">Изменение соотношения </w:t>
      </w:r>
    </w:p>
    <w:p w:rsidR="00AB458E" w:rsidRPr="00AB458E" w:rsidRDefault="00AB458E" w:rsidP="00AB458E">
      <w:pPr>
        <w:ind w:left="-360"/>
        <w:rPr>
          <w:b/>
          <w:sz w:val="28"/>
          <w:szCs w:val="28"/>
        </w:rPr>
      </w:pPr>
      <w:r w:rsidRPr="00AB458E">
        <w:rPr>
          <w:b/>
          <w:sz w:val="28"/>
          <w:szCs w:val="28"/>
        </w:rPr>
        <w:t xml:space="preserve">       среднего размера  пенсий лиц</w:t>
      </w:r>
      <w:proofErr w:type="gramStart"/>
      <w:r w:rsidRPr="00AB458E">
        <w:rPr>
          <w:b/>
          <w:sz w:val="28"/>
          <w:szCs w:val="28"/>
        </w:rPr>
        <w:t xml:space="preserve"> ,</w:t>
      </w:r>
      <w:proofErr w:type="gramEnd"/>
      <w:r w:rsidRPr="00AB458E">
        <w:rPr>
          <w:b/>
          <w:sz w:val="28"/>
          <w:szCs w:val="28"/>
        </w:rPr>
        <w:t>проходивших военную службу , к среднему размеру   трудовых пенсий по старости в период с января 2012 года по настоящее время.</w:t>
      </w:r>
    </w:p>
    <w:p w:rsidR="00AB458E" w:rsidRPr="00AB458E" w:rsidRDefault="00AB458E" w:rsidP="00AB458E">
      <w:pPr>
        <w:ind w:left="-360"/>
        <w:rPr>
          <w:sz w:val="28"/>
          <w:szCs w:val="28"/>
        </w:rPr>
      </w:pPr>
    </w:p>
    <w:p w:rsidR="00AB458E" w:rsidRDefault="00AB458E" w:rsidP="00AB458E"/>
    <w:p w:rsidR="00AB458E" w:rsidRPr="00AB458E" w:rsidRDefault="00AB458E" w:rsidP="00AB458E">
      <w:pPr>
        <w:ind w:left="-360"/>
        <w:rPr>
          <w:sz w:val="28"/>
          <w:szCs w:val="28"/>
        </w:rPr>
      </w:pPr>
      <w:r w:rsidRPr="00AB458E">
        <w:rPr>
          <w:sz w:val="28"/>
          <w:szCs w:val="28"/>
        </w:rPr>
        <w:t>Что же на самом деле происходит во времени с  отношением  средней пенсии лиц</w:t>
      </w:r>
      <w:proofErr w:type="gramStart"/>
      <w:r w:rsidRPr="00AB458E">
        <w:rPr>
          <w:sz w:val="28"/>
          <w:szCs w:val="28"/>
        </w:rPr>
        <w:t xml:space="preserve"> ,</w:t>
      </w:r>
      <w:proofErr w:type="gramEnd"/>
      <w:r w:rsidRPr="00AB458E">
        <w:rPr>
          <w:sz w:val="28"/>
          <w:szCs w:val="28"/>
        </w:rPr>
        <w:t>проходивших военную службу ,к средней  трудовой   пенсии по старости .</w:t>
      </w:r>
    </w:p>
    <w:p w:rsidR="00AB458E" w:rsidRPr="00AB458E" w:rsidRDefault="00AB458E" w:rsidP="00AB458E">
      <w:pPr>
        <w:ind w:left="-360" w:firstLine="360"/>
        <w:rPr>
          <w:sz w:val="28"/>
          <w:szCs w:val="28"/>
        </w:rPr>
      </w:pPr>
      <w:r w:rsidRPr="00AB458E">
        <w:rPr>
          <w:sz w:val="28"/>
          <w:szCs w:val="28"/>
        </w:rPr>
        <w:t xml:space="preserve"> По заявлению представителей Правительства</w:t>
      </w:r>
      <w:proofErr w:type="gramStart"/>
      <w:r w:rsidRPr="00AB458E">
        <w:rPr>
          <w:sz w:val="28"/>
          <w:szCs w:val="28"/>
        </w:rPr>
        <w:t xml:space="preserve"> ,</w:t>
      </w:r>
      <w:proofErr w:type="gramEnd"/>
      <w:r w:rsidRPr="00AB458E">
        <w:rPr>
          <w:b/>
          <w:sz w:val="28"/>
          <w:szCs w:val="28"/>
          <w:u w:val="single"/>
        </w:rPr>
        <w:t>одним из условий повышения пенсий военнослужащих  было обеспечение  превосходства их  средних пенсий  в 1,7 раза над средними трудовыми пенсиями по старости.</w:t>
      </w:r>
      <w:r w:rsidRPr="00AB458E">
        <w:rPr>
          <w:sz w:val="28"/>
          <w:szCs w:val="28"/>
        </w:rPr>
        <w:t xml:space="preserve"> Это дает основание принять</w:t>
      </w:r>
      <w:proofErr w:type="gramStart"/>
      <w:r w:rsidRPr="00AB458E">
        <w:rPr>
          <w:sz w:val="28"/>
          <w:szCs w:val="28"/>
        </w:rPr>
        <w:t xml:space="preserve"> ,</w:t>
      </w:r>
      <w:proofErr w:type="gramEnd"/>
      <w:r w:rsidRPr="00AB458E">
        <w:rPr>
          <w:sz w:val="28"/>
          <w:szCs w:val="28"/>
        </w:rPr>
        <w:t>что 1 января 2012 года  отношение средней  пенсий военнослужащих к средней трудовой пенсии по старости  было равно 1,7</w:t>
      </w:r>
    </w:p>
    <w:p w:rsidR="00AB458E" w:rsidRPr="00AB458E" w:rsidRDefault="00AB458E" w:rsidP="00AB458E">
      <w:pPr>
        <w:ind w:left="-360" w:firstLine="360"/>
        <w:rPr>
          <w:sz w:val="28"/>
          <w:szCs w:val="28"/>
        </w:rPr>
      </w:pPr>
      <w:r w:rsidRPr="00AB458E">
        <w:rPr>
          <w:sz w:val="28"/>
          <w:szCs w:val="28"/>
        </w:rPr>
        <w:t xml:space="preserve"> В последующие периоды времени пенсии военнослужащих и по старости индексировались в разное время и на разную величину</w:t>
      </w:r>
      <w:proofErr w:type="gramStart"/>
      <w:r w:rsidRPr="00AB458E">
        <w:rPr>
          <w:sz w:val="28"/>
          <w:szCs w:val="28"/>
        </w:rPr>
        <w:t xml:space="preserve"> ,</w:t>
      </w:r>
      <w:proofErr w:type="gramEnd"/>
      <w:r w:rsidRPr="00AB458E">
        <w:rPr>
          <w:sz w:val="28"/>
          <w:szCs w:val="28"/>
        </w:rPr>
        <w:t>в результате чего  ,интересующее нас отношение  менялось во времени. Для представления зависимости отношения во времени необходимо провести расчеты номинальной индексации пенсий и построить диаграмму  зависимости рассматриваемого отношения во времени.</w:t>
      </w:r>
    </w:p>
    <w:p w:rsidR="00AB458E" w:rsidRPr="00AB458E" w:rsidRDefault="00AB458E" w:rsidP="00AB458E">
      <w:pPr>
        <w:shd w:val="clear" w:color="auto" w:fill="FFFFFF"/>
        <w:jc w:val="center"/>
        <w:rPr>
          <w:sz w:val="28"/>
          <w:szCs w:val="28"/>
          <w:u w:val="single"/>
        </w:rPr>
      </w:pPr>
    </w:p>
    <w:p w:rsidR="00AB458E" w:rsidRDefault="00AB458E" w:rsidP="00AB458E">
      <w:pPr>
        <w:shd w:val="clear" w:color="auto" w:fill="FFFFFF"/>
        <w:jc w:val="center"/>
        <w:rPr>
          <w:u w:val="single"/>
        </w:rPr>
      </w:pPr>
    </w:p>
    <w:p w:rsidR="00AB458E" w:rsidRPr="00AB458E" w:rsidRDefault="00AB458E" w:rsidP="00AB458E">
      <w:pPr>
        <w:shd w:val="clear" w:color="auto" w:fill="FFFFFF"/>
        <w:jc w:val="center"/>
        <w:rPr>
          <w:b/>
        </w:rPr>
      </w:pPr>
      <w:r w:rsidRPr="00AB458E">
        <w:rPr>
          <w:b/>
          <w:u w:val="single"/>
        </w:rPr>
        <w:t>Коэффициенты индексации</w:t>
      </w:r>
      <w:r w:rsidRPr="00AB458E">
        <w:rPr>
          <w:b/>
        </w:rPr>
        <w:t xml:space="preserve"> </w:t>
      </w:r>
      <w:r w:rsidRPr="00AB458E">
        <w:rPr>
          <w:b/>
        </w:rPr>
        <w:br/>
        <w:t>размера страховой части трудовой пенсии по старости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01.02.2015 - 1,114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01.04.2014 - 1,017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01.02.2014 - 1,065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01.04.2013 - 1,033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01.02.2013 - 1,066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01.04.2012 - 1,0341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01.02.2012 - 1,070 </w:t>
      </w:r>
    </w:p>
    <w:p w:rsidR="00AB458E" w:rsidRPr="00AB458E" w:rsidRDefault="00AB458E" w:rsidP="00AB458E">
      <w:pPr>
        <w:shd w:val="clear" w:color="auto" w:fill="FFFFFF"/>
        <w:jc w:val="center"/>
        <w:rPr>
          <w:b/>
        </w:rPr>
      </w:pPr>
      <w:r w:rsidRPr="00AB458E">
        <w:rPr>
          <w:b/>
          <w:u w:val="single"/>
        </w:rPr>
        <w:t>Коэффициенты индексации</w:t>
      </w:r>
      <w:r w:rsidRPr="00AB458E">
        <w:rPr>
          <w:b/>
        </w:rPr>
        <w:t xml:space="preserve"> </w:t>
      </w:r>
      <w:r w:rsidRPr="00AB458E">
        <w:rPr>
          <w:b/>
        </w:rPr>
        <w:br/>
        <w:t>размера пенсий лиц</w:t>
      </w:r>
      <w:proofErr w:type="gramStart"/>
      <w:r w:rsidRPr="00AB458E">
        <w:rPr>
          <w:b/>
        </w:rPr>
        <w:t xml:space="preserve"> ,</w:t>
      </w:r>
      <w:proofErr w:type="gramEnd"/>
      <w:r w:rsidRPr="00AB458E">
        <w:rPr>
          <w:b/>
        </w:rPr>
        <w:t>проходивших военную службу.</w:t>
      </w:r>
    </w:p>
    <w:p w:rsidR="00A13B04" w:rsidRPr="00A13B04" w:rsidRDefault="00A13B04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rPr>
          <w:lang w:val="en-US"/>
        </w:rPr>
        <w:t>C0</w:t>
      </w:r>
      <w:r w:rsidR="00CD3723">
        <w:rPr>
          <w:lang w:val="en-US"/>
        </w:rPr>
        <w:t>1102015 -    6</w:t>
      </w:r>
      <w:r w:rsidR="00CD3723">
        <w:t>6,78</w:t>
      </w:r>
      <w:r>
        <w:t>/ 62,12=</w:t>
      </w:r>
      <w:r w:rsidR="00CD3723">
        <w:t>1,075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01.01.2015 – 62,12/62,12=1,000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01.10.2014 – 62,12/60,05= 1,034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01.01.2014 -  60,05/58,05=1,034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01.10.2013 – 58,05/56=1,037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01.01.2013 – 56/54=1,037 </w:t>
      </w:r>
    </w:p>
    <w:p w:rsidR="00AB458E" w:rsidRDefault="00AB458E" w:rsidP="00AB458E">
      <w:pPr>
        <w:shd w:val="clear" w:color="auto" w:fill="FFFFFF"/>
        <w:spacing w:before="100" w:beforeAutospacing="1" w:after="100" w:afterAutospacing="1"/>
        <w:ind w:left="360"/>
        <w:jc w:val="both"/>
        <w:rPr>
          <w:lang w:val="en-US"/>
        </w:rPr>
      </w:pPr>
    </w:p>
    <w:p w:rsidR="00AB458E" w:rsidRDefault="00AB458E" w:rsidP="00AB458E">
      <w:pPr>
        <w:shd w:val="clear" w:color="auto" w:fill="FFFFFF"/>
        <w:spacing w:before="100" w:beforeAutospacing="1" w:after="100" w:afterAutospacing="1"/>
        <w:ind w:left="360"/>
        <w:jc w:val="both"/>
        <w:rPr>
          <w:lang w:val="en-US"/>
        </w:rPr>
      </w:pPr>
    </w:p>
    <w:p w:rsidR="00AB458E" w:rsidRPr="00992E88" w:rsidRDefault="00AB458E" w:rsidP="00AB458E">
      <w:pPr>
        <w:shd w:val="clear" w:color="auto" w:fill="FFFFFF"/>
        <w:spacing w:before="100" w:beforeAutospacing="1" w:after="100" w:afterAutospacing="1"/>
        <w:ind w:left="360"/>
        <w:jc w:val="both"/>
      </w:pPr>
    </w:p>
    <w:p w:rsidR="00AB458E" w:rsidRDefault="00AB458E" w:rsidP="00AB458E">
      <w:pPr>
        <w:shd w:val="clear" w:color="auto" w:fill="FFFFFF"/>
        <w:spacing w:before="100" w:beforeAutospacing="1" w:after="100" w:afterAutospacing="1"/>
        <w:jc w:val="both"/>
        <w:rPr>
          <w:b/>
        </w:rPr>
      </w:pPr>
      <w:r>
        <w:t xml:space="preserve"> </w:t>
      </w:r>
      <w:r>
        <w:rPr>
          <w:b/>
        </w:rPr>
        <w:t xml:space="preserve">Индексация в номинальном выражении относительных соотношений    трудовой пенсии по старости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01.02.2015 – 1,3198*1,114 =1,4763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01.04.2014 – 1,2976*1,017 =1,3198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01.02.2014 -  1,2184*1,065 =1,2976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01.04.2013 -  1,17951,033 =1,2184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01.02.2013 – 1,1065*1,066 =1,1795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01.04.2012 – 1,07*1,0341=1,1065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01.02.2012 -  1,000*1,070 =1,070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01.01.2012 -  1,000</w:t>
      </w:r>
    </w:p>
    <w:p w:rsidR="00AB458E" w:rsidRDefault="00AB458E" w:rsidP="00AB458E">
      <w:pPr>
        <w:shd w:val="clear" w:color="auto" w:fill="FFFFFF"/>
        <w:spacing w:before="100" w:beforeAutospacing="1" w:after="100" w:afterAutospacing="1"/>
        <w:jc w:val="both"/>
      </w:pPr>
      <w:r>
        <w:rPr>
          <w:b/>
        </w:rPr>
        <w:t>Индексация  в номинальном выражении относительных соотношений    пенсий лиц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>проходивших военную службу</w:t>
      </w:r>
      <w:r>
        <w:t xml:space="preserve">. 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01.01.2015 – 1,955*1,000 =1,955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01.10.2014 –  1,89*1,034=1,955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>с 01.01.2014 -  1,8275*1,034=1,89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01.10.2013 – 1,763*1,037=1,8275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с 01.01.2013 – 1,7*1,037=1,763 </w:t>
      </w:r>
    </w:p>
    <w:p w:rsidR="00AB458E" w:rsidRDefault="00AB458E" w:rsidP="00AB458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</w:pPr>
      <w:r>
        <w:t xml:space="preserve"> с 01.01.2012 -1,7</w:t>
      </w:r>
    </w:p>
    <w:p w:rsidR="00AB458E" w:rsidRDefault="00AB458E" w:rsidP="00AB458E">
      <w:pPr>
        <w:shd w:val="clear" w:color="auto" w:fill="FFFFFF"/>
        <w:spacing w:before="100" w:beforeAutospacing="1" w:after="100" w:afterAutospacing="1"/>
        <w:jc w:val="both"/>
      </w:pPr>
      <w:r>
        <w:t>Отобразим</w:t>
      </w:r>
      <w:proofErr w:type="gramStart"/>
      <w:r>
        <w:t xml:space="preserve"> ,</w:t>
      </w:r>
      <w:proofErr w:type="gramEnd"/>
      <w:r>
        <w:t>полученные результаты на диаграмме</w:t>
      </w:r>
    </w:p>
    <w:p w:rsidR="00AB458E" w:rsidRDefault="00AB458E" w:rsidP="00AB458E">
      <w:pPr>
        <w:shd w:val="clear" w:color="auto" w:fill="FFFFFF"/>
        <w:spacing w:before="100" w:beforeAutospacing="1" w:after="100" w:afterAutospacing="1"/>
        <w:jc w:val="both"/>
      </w:pPr>
      <w:r>
        <w:t xml:space="preserve">   1 ряд представляет относительный    размер средней  трудовой  пенсий по старости в номинальном выражении  относительно размера  января 2012года.;</w:t>
      </w:r>
    </w:p>
    <w:p w:rsidR="00CD3723" w:rsidRDefault="00AB458E" w:rsidP="00AB458E">
      <w:pPr>
        <w:shd w:val="clear" w:color="auto" w:fill="FFFFFF"/>
        <w:spacing w:before="100" w:beforeAutospacing="1" w:after="100" w:afterAutospacing="1"/>
        <w:jc w:val="both"/>
      </w:pPr>
      <w:r>
        <w:t xml:space="preserve">    2 ряд представляет относительный  размер средней  пенсии лиц</w:t>
      </w:r>
      <w:proofErr w:type="gramStart"/>
      <w:r>
        <w:t xml:space="preserve"> ,</w:t>
      </w:r>
      <w:proofErr w:type="gramEnd"/>
      <w:r>
        <w:t>проходивших военную службу , в номинальном выражении  относительно трудовой пенсии  за январь 2012 года.</w:t>
      </w:r>
      <w:bookmarkStart w:id="0" w:name="_GoBack"/>
      <w:bookmarkEnd w:id="0"/>
    </w:p>
    <w:p w:rsidR="00AB458E" w:rsidRDefault="00AB458E" w:rsidP="00AB458E">
      <w:pPr>
        <w:shd w:val="clear" w:color="auto" w:fill="FFFFFF"/>
        <w:spacing w:before="100" w:beforeAutospacing="1" w:after="100" w:afterAutospacing="1"/>
        <w:jc w:val="both"/>
      </w:pPr>
      <w:r>
        <w:rPr>
          <w:noProof/>
        </w:rPr>
        <w:drawing>
          <wp:inline distT="0" distB="0" distL="0" distR="0">
            <wp:extent cx="5999557" cy="2838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707" cy="2846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58E" w:rsidRDefault="00AB458E">
      <w:pPr>
        <w:rPr>
          <w:lang w:val="en-US"/>
        </w:rPr>
      </w:pPr>
    </w:p>
    <w:p w:rsidR="00AB458E" w:rsidRDefault="00AB458E">
      <w:pPr>
        <w:rPr>
          <w:lang w:val="en-US"/>
        </w:rPr>
      </w:pPr>
    </w:p>
    <w:p w:rsidR="00AB458E" w:rsidRDefault="00AB458E">
      <w:pPr>
        <w:rPr>
          <w:lang w:val="en-US"/>
        </w:rPr>
      </w:pPr>
    </w:p>
    <w:p w:rsidR="00AB458E" w:rsidRDefault="00AB458E">
      <w:pPr>
        <w:rPr>
          <w:lang w:val="en-US"/>
        </w:rPr>
      </w:pPr>
    </w:p>
    <w:p w:rsidR="00AB458E" w:rsidRPr="00AB458E" w:rsidRDefault="00AB458E" w:rsidP="00AB458E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AB458E">
        <w:rPr>
          <w:sz w:val="28"/>
          <w:szCs w:val="28"/>
        </w:rPr>
        <w:t>На основании  полученных относительных размеров пенсий  определяется  соотношение среднего  размера пенсий лиц</w:t>
      </w:r>
      <w:proofErr w:type="gramStart"/>
      <w:r w:rsidRPr="00AB458E">
        <w:rPr>
          <w:sz w:val="28"/>
          <w:szCs w:val="28"/>
        </w:rPr>
        <w:t xml:space="preserve"> ,</w:t>
      </w:r>
      <w:proofErr w:type="gramEnd"/>
      <w:r w:rsidRPr="00AB458E">
        <w:rPr>
          <w:sz w:val="28"/>
          <w:szCs w:val="28"/>
        </w:rPr>
        <w:t>проходивших военную службу ,к  средней  трудовой пенсии по старости.</w:t>
      </w:r>
    </w:p>
    <w:p w:rsidR="00AB458E" w:rsidRPr="00AB458E" w:rsidRDefault="00AB458E" w:rsidP="00AB458E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AB458E">
        <w:rPr>
          <w:sz w:val="28"/>
          <w:szCs w:val="28"/>
        </w:rPr>
        <w:t xml:space="preserve"> Данные об изменении соотношения  представлены на диаграмме.</w:t>
      </w:r>
    </w:p>
    <w:p w:rsidR="00AB458E" w:rsidRPr="00AB458E" w:rsidRDefault="00AB458E"/>
    <w:p w:rsidR="00AB458E" w:rsidRPr="00AB458E" w:rsidRDefault="00AB458E"/>
    <w:p w:rsidR="00AB458E" w:rsidRPr="00AB458E" w:rsidRDefault="00AB458E"/>
    <w:p w:rsidR="00AB458E" w:rsidRPr="00AB458E" w:rsidRDefault="00AB458E"/>
    <w:p w:rsidR="00AB458E" w:rsidRPr="00AB458E" w:rsidRDefault="00A13B04">
      <w:r>
        <w:rPr>
          <w:noProof/>
        </w:rPr>
        <w:drawing>
          <wp:inline distT="0" distB="0" distL="0" distR="0" wp14:anchorId="3FF8ED3E" wp14:editId="4BB22A08">
            <wp:extent cx="5991225" cy="3781425"/>
            <wp:effectExtent l="0" t="0" r="9525" b="9525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AB458E" w:rsidRPr="00AB458E" w:rsidRDefault="00AB458E"/>
    <w:p w:rsidR="00AB458E" w:rsidRPr="00AB458E" w:rsidRDefault="00AB458E"/>
    <w:p w:rsidR="00AB458E" w:rsidRPr="00AB458E" w:rsidRDefault="00AB458E"/>
    <w:p w:rsidR="00AB458E" w:rsidRPr="00AB458E" w:rsidRDefault="00AB458E"/>
    <w:p w:rsidR="00AB458E" w:rsidRPr="00AB458E" w:rsidRDefault="00AB458E"/>
    <w:p w:rsidR="00AB458E" w:rsidRPr="00AB458E" w:rsidRDefault="00AB458E"/>
    <w:sectPr w:rsidR="00AB458E" w:rsidRPr="00AB4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3156D"/>
    <w:multiLevelType w:val="multilevel"/>
    <w:tmpl w:val="4CE42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58E"/>
    <w:rsid w:val="00462FFB"/>
    <w:rsid w:val="00992E88"/>
    <w:rsid w:val="00A13B04"/>
    <w:rsid w:val="00AB458E"/>
    <w:rsid w:val="00CD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5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5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5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5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8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er19\Documents\&#1086;&#1090;&#1085;&#1086;&#1096;&#1077;&#1085;&#1080;&#1077;%20&#1087;&#1077;&#1085;&#1085;&#1089;%202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multiLvlStrRef>
              <c:f>Лист1!$A$1:$B$52</c:f>
              <c:multiLvlStrCache>
                <c:ptCount val="52"/>
                <c:lvl>
                  <c:pt idx="0">
                    <c:v>январь</c:v>
                  </c:pt>
                  <c:pt idx="1">
                    <c:v>февраль</c:v>
                  </c:pt>
                  <c:pt idx="2">
                    <c:v>март</c:v>
                  </c:pt>
                  <c:pt idx="3">
                    <c:v>апрель </c:v>
                  </c:pt>
                  <c:pt idx="4">
                    <c:v>май</c:v>
                  </c:pt>
                  <c:pt idx="5">
                    <c:v>июнь</c:v>
                  </c:pt>
                  <c:pt idx="6">
                    <c:v>июль</c:v>
                  </c:pt>
                  <c:pt idx="7">
                    <c:v>август </c:v>
                  </c:pt>
                  <c:pt idx="8">
                    <c:v>сентяб</c:v>
                  </c:pt>
                  <c:pt idx="9">
                    <c:v>октябрь</c:v>
                  </c:pt>
                  <c:pt idx="10">
                    <c:v>ноябрь</c:v>
                  </c:pt>
                  <c:pt idx="11">
                    <c:v>декабрь</c:v>
                  </c:pt>
                  <c:pt idx="12">
                    <c:v>январь</c:v>
                  </c:pt>
                  <c:pt idx="13">
                    <c:v>февраль</c:v>
                  </c:pt>
                  <c:pt idx="14">
                    <c:v>март</c:v>
                  </c:pt>
                  <c:pt idx="15">
                    <c:v>апрель </c:v>
                  </c:pt>
                  <c:pt idx="16">
                    <c:v>май</c:v>
                  </c:pt>
                  <c:pt idx="17">
                    <c:v>июнь</c:v>
                  </c:pt>
                  <c:pt idx="18">
                    <c:v>июль</c:v>
                  </c:pt>
                  <c:pt idx="19">
                    <c:v>август </c:v>
                  </c:pt>
                  <c:pt idx="20">
                    <c:v>сентябрь</c:v>
                  </c:pt>
                  <c:pt idx="21">
                    <c:v>октябрь</c:v>
                  </c:pt>
                  <c:pt idx="22">
                    <c:v>ноябрь</c:v>
                  </c:pt>
                  <c:pt idx="23">
                    <c:v>декабрь</c:v>
                  </c:pt>
                  <c:pt idx="24">
                    <c:v>январь </c:v>
                  </c:pt>
                  <c:pt idx="25">
                    <c:v>февраль</c:v>
                  </c:pt>
                  <c:pt idx="26">
                    <c:v>март</c:v>
                  </c:pt>
                  <c:pt idx="27">
                    <c:v>апрель </c:v>
                  </c:pt>
                  <c:pt idx="28">
                    <c:v>май</c:v>
                  </c:pt>
                  <c:pt idx="29">
                    <c:v>июнь</c:v>
                  </c:pt>
                  <c:pt idx="30">
                    <c:v>июль</c:v>
                  </c:pt>
                  <c:pt idx="31">
                    <c:v>август </c:v>
                  </c:pt>
                  <c:pt idx="32">
                    <c:v>сентябрь</c:v>
                  </c:pt>
                  <c:pt idx="33">
                    <c:v>октябрь</c:v>
                  </c:pt>
                  <c:pt idx="34">
                    <c:v>ноябрь</c:v>
                  </c:pt>
                  <c:pt idx="35">
                    <c:v>декабрь</c:v>
                  </c:pt>
                  <c:pt idx="36">
                    <c:v>январь</c:v>
                  </c:pt>
                  <c:pt idx="37">
                    <c:v>февраль</c:v>
                  </c:pt>
                  <c:pt idx="38">
                    <c:v>март</c:v>
                  </c:pt>
                  <c:pt idx="39">
                    <c:v>апрель </c:v>
                  </c:pt>
                  <c:pt idx="40">
                    <c:v>май</c:v>
                  </c:pt>
                  <c:pt idx="41">
                    <c:v>июнь</c:v>
                  </c:pt>
                  <c:pt idx="42">
                    <c:v>июль</c:v>
                  </c:pt>
                  <c:pt idx="43">
                    <c:v>август </c:v>
                  </c:pt>
                  <c:pt idx="44">
                    <c:v>сентябрь</c:v>
                  </c:pt>
                  <c:pt idx="45">
                    <c:v>октябрь</c:v>
                  </c:pt>
                  <c:pt idx="46">
                    <c:v>ноябрь</c:v>
                  </c:pt>
                  <c:pt idx="47">
                    <c:v>декабрь</c:v>
                  </c:pt>
                  <c:pt idx="48">
                    <c:v>январь</c:v>
                  </c:pt>
                  <c:pt idx="49">
                    <c:v>февраль</c:v>
                  </c:pt>
                  <c:pt idx="50">
                    <c:v>март</c:v>
                  </c:pt>
                  <c:pt idx="51">
                    <c:v>апрель 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Лист1!$C$1:$C$52</c:f>
              <c:numCache>
                <c:formatCode>General</c:formatCode>
                <c:ptCount val="52"/>
                <c:pt idx="0">
                  <c:v>1.7</c:v>
                </c:pt>
                <c:pt idx="1">
                  <c:v>1.589</c:v>
                </c:pt>
                <c:pt idx="2">
                  <c:v>1.589</c:v>
                </c:pt>
                <c:pt idx="3">
                  <c:v>1.536</c:v>
                </c:pt>
                <c:pt idx="4">
                  <c:v>1.536</c:v>
                </c:pt>
                <c:pt idx="5">
                  <c:v>1.536</c:v>
                </c:pt>
                <c:pt idx="6">
                  <c:v>1.536</c:v>
                </c:pt>
                <c:pt idx="7">
                  <c:v>1.536</c:v>
                </c:pt>
                <c:pt idx="8">
                  <c:v>1.536</c:v>
                </c:pt>
                <c:pt idx="9">
                  <c:v>1.536</c:v>
                </c:pt>
                <c:pt idx="10">
                  <c:v>1.536</c:v>
                </c:pt>
                <c:pt idx="11">
                  <c:v>1.536</c:v>
                </c:pt>
                <c:pt idx="12">
                  <c:v>1.593</c:v>
                </c:pt>
                <c:pt idx="13">
                  <c:v>1.4950000000000001</c:v>
                </c:pt>
                <c:pt idx="14">
                  <c:v>1.4950000000000001</c:v>
                </c:pt>
                <c:pt idx="15">
                  <c:v>1.4470000000000001</c:v>
                </c:pt>
                <c:pt idx="16">
                  <c:v>1.4470000000000001</c:v>
                </c:pt>
                <c:pt idx="17">
                  <c:v>1.4470000000000001</c:v>
                </c:pt>
                <c:pt idx="18">
                  <c:v>1.4470000000000001</c:v>
                </c:pt>
                <c:pt idx="19">
                  <c:v>1.4470000000000001</c:v>
                </c:pt>
                <c:pt idx="20">
                  <c:v>1.4470000000000001</c:v>
                </c:pt>
                <c:pt idx="21">
                  <c:v>1.5</c:v>
                </c:pt>
                <c:pt idx="22">
                  <c:v>1.5</c:v>
                </c:pt>
                <c:pt idx="23">
                  <c:v>1.5</c:v>
                </c:pt>
                <c:pt idx="24">
                  <c:v>1.5509999999999999</c:v>
                </c:pt>
                <c:pt idx="25">
                  <c:v>1.4570000000000001</c:v>
                </c:pt>
                <c:pt idx="26">
                  <c:v>1.4570000000000001</c:v>
                </c:pt>
                <c:pt idx="27">
                  <c:v>1.4319999999999999</c:v>
                </c:pt>
                <c:pt idx="28">
                  <c:v>1.4319999999999999</c:v>
                </c:pt>
                <c:pt idx="29">
                  <c:v>1.4319999999999999</c:v>
                </c:pt>
                <c:pt idx="30">
                  <c:v>1.4319999999999999</c:v>
                </c:pt>
                <c:pt idx="31">
                  <c:v>1.4319999999999999</c:v>
                </c:pt>
                <c:pt idx="32">
                  <c:v>1.4319999999999999</c:v>
                </c:pt>
                <c:pt idx="33">
                  <c:v>1.4810000000000001</c:v>
                </c:pt>
                <c:pt idx="34">
                  <c:v>1.4810000000000001</c:v>
                </c:pt>
                <c:pt idx="35">
                  <c:v>1.4810000000000001</c:v>
                </c:pt>
                <c:pt idx="36">
                  <c:v>1.4810000000000001</c:v>
                </c:pt>
                <c:pt idx="37">
                  <c:v>1.3240000000000001</c:v>
                </c:pt>
                <c:pt idx="38">
                  <c:v>1.3240000000000001</c:v>
                </c:pt>
                <c:pt idx="39">
                  <c:v>1.3240000000000001</c:v>
                </c:pt>
                <c:pt idx="40">
                  <c:v>1.3240000000000001</c:v>
                </c:pt>
                <c:pt idx="41">
                  <c:v>1.3240000000000001</c:v>
                </c:pt>
                <c:pt idx="42">
                  <c:v>1.3240000000000001</c:v>
                </c:pt>
                <c:pt idx="43">
                  <c:v>1.3240000000000001</c:v>
                </c:pt>
                <c:pt idx="44">
                  <c:v>1.3240000000000001</c:v>
                </c:pt>
                <c:pt idx="45">
                  <c:v>1.4319999999999999</c:v>
                </c:pt>
                <c:pt idx="46">
                  <c:v>1.4319999999999999</c:v>
                </c:pt>
                <c:pt idx="47">
                  <c:v>1.4319999999999999</c:v>
                </c:pt>
                <c:pt idx="48">
                  <c:v>1.4319999999999999</c:v>
                </c:pt>
                <c:pt idx="49">
                  <c:v>1.4319999999999999</c:v>
                </c:pt>
                <c:pt idx="50">
                  <c:v>1.4319999999999999</c:v>
                </c:pt>
                <c:pt idx="51">
                  <c:v>1.4319999999999999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5367296"/>
        <c:axId val="129401984"/>
      </c:lineChart>
      <c:catAx>
        <c:axId val="115367296"/>
        <c:scaling>
          <c:orientation val="minMax"/>
        </c:scaling>
        <c:delete val="0"/>
        <c:axPos val="b"/>
        <c:majorTickMark val="out"/>
        <c:minorTickMark val="none"/>
        <c:tickLblPos val="nextTo"/>
        <c:crossAx val="129401984"/>
        <c:crosses val="autoZero"/>
        <c:auto val="1"/>
        <c:lblAlgn val="ctr"/>
        <c:lblOffset val="100"/>
        <c:noMultiLvlLbl val="0"/>
      </c:catAx>
      <c:valAx>
        <c:axId val="129401984"/>
        <c:scaling>
          <c:orientation val="minMax"/>
          <c:max val="1.7"/>
          <c:min val="1.3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5367296"/>
        <c:crosses val="autoZero"/>
        <c:crossBetween val="between"/>
        <c:majorUnit val="5.000000000000001E-2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1</cp:revision>
  <dcterms:created xsi:type="dcterms:W3CDTF">2016-10-09T10:10:00Z</dcterms:created>
  <dcterms:modified xsi:type="dcterms:W3CDTF">2016-10-09T10:43:00Z</dcterms:modified>
</cp:coreProperties>
</file>