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Решение по гражданскому делу </w:t>
      </w:r>
    </w:p>
    <w:p>
      <w:pPr>
        <w:pStyle w:val="Normal"/>
        <w:spacing w:lineRule="auto" w:line="240" w:before="0" w:after="0"/>
        <w:jc w:val="right"/>
        <w:rPr>
          <w:rFonts w:ascii="Times New Roman" w:hAnsi="Times New Roman" w:eastAsia="Times New Roman" w:cs="Times New Roman"/>
          <w:sz w:val="24"/>
          <w:szCs w:val="24"/>
          <w:lang w:eastAsia="ru-RU"/>
        </w:rPr>
      </w:pPr>
      <w:r>
        <w:rPr/>
        <mc:AlternateContent>
          <mc:Choice Requires="wps">
            <w:drawing>
              <wp:inline distT="0" distB="0" distL="114300" distR="114300">
                <wp:extent cx="308610" cy="308610"/>
                <wp:effectExtent l="0" t="0" r="0" b="0"/>
                <wp:docPr id="1" name=""/>
                <a:graphic xmlns:a="http://schemas.openxmlformats.org/drawingml/2006/main">
                  <a:graphicData uri="http://schemas.microsoft.com/office/word/2010/wordprocessingShape">
                    <wps:wsp>
                      <wps:cNvSpPr/>
                      <wps:spPr>
                        <a:xfrm>
                          <a:off x="0" y="0"/>
                          <a:ext cx="307800" cy="307800"/>
                        </a:xfrm>
                        <a:prstGeom prst="rect">
                          <a:avLst/>
                        </a:prstGeom>
                        <a:noFill/>
                        <a:ln>
                          <a:noFill/>
                        </a:ln>
                      </wps:spPr>
                      <wps:style>
                        <a:lnRef idx="0"/>
                        <a:fillRef idx="0"/>
                        <a:effectRef idx="0"/>
                        <a:fontRef idx="minor"/>
                      </wps:style>
                      <wps:bodyPr/>
                    </wps:wsp>
                  </a:graphicData>
                </a:graphic>
              </wp:inline>
            </w:drawing>
          </mc:Choice>
          <mc:Fallback>
            <w:pict>
              <v:rect id="shape_0" stroked="f" style="position:absolute;margin-left:0pt;margin-top:0pt;width:24.2pt;height:24.2pt">
                <w10:wrap type="none"/>
                <v:fill on="false" o:detectmouseclick="t"/>
                <v:stroke color="#3465a4" joinstyle="round" endcap="flat"/>
              </v:rect>
            </w:pict>
          </mc:Fallback>
        </mc:AlternateContent>
      </w:r>
    </w:p>
    <w:p>
      <w:pPr>
        <w:pStyle w:val="Normal"/>
        <w:spacing w:lineRule="auto" w:line="240" w:before="0" w:after="0"/>
        <w:jc w:val="right"/>
        <w:rPr/>
      </w:pPr>
      <w:hyperlink r:id="rId2">
        <w:r>
          <w:rPr>
            <w:rStyle w:val="Style11"/>
            <w:rFonts w:eastAsia="Times New Roman" w:cs="Times New Roman" w:ascii="Times New Roman" w:hAnsi="Times New Roman"/>
            <w:color w:val="0000FF"/>
            <w:sz w:val="24"/>
            <w:szCs w:val="24"/>
            <w:u w:val="single"/>
            <w:lang w:eastAsia="ru-RU"/>
          </w:rPr>
          <w:t>Информация по делу №2-24/2017</w:t>
        </w:r>
      </w:hyperlink>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Решение по гражданскому делу № 2-24/2017</w:t>
      </w:r>
    </w:p>
    <w:p>
      <w:pPr>
        <w:pStyle w:val="Normal"/>
        <w:spacing w:lineRule="auto" w:line="240" w:beforeAutospacing="1" w:afterAutospacing="1"/>
        <w:ind w:firstLine="72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РЕШЕНИЕ</w:t>
      </w:r>
    </w:p>
    <w:p>
      <w:pPr>
        <w:pStyle w:val="Normal"/>
        <w:spacing w:lineRule="auto" w:line="240" w:beforeAutospacing="1" w:afterAutospacing="1"/>
        <w:ind w:firstLine="72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ИМЕНЕМ РОССИЙСКОЙ ФЕДЕРАЦИИ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17 февраля 2017 года город Тверь</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Тверской гарнизонный военный суд в составе: председательствующего Хараборкина А.А., при секретаре судебного заседания Разделкиной А.В., с участием представителя истца – федерального казенного учреждения «Военный комиссариат Тверской области» (далее – ВКТО) Козловой Н.В., ответчика Кравцова Г.А., рассмотрев в открытом судебном заседании, в помещении военного суда, гражданское дело по исковому заявлению ВКТО к военнослужащему войсковой части № &lt;данные изъяты&gt; Кравцову о взыскании суммы излишне выплаченных денежных средств,</w:t>
      </w:r>
    </w:p>
    <w:p>
      <w:pPr>
        <w:pStyle w:val="Normal"/>
        <w:spacing w:lineRule="auto" w:line="240" w:beforeAutospacing="1" w:afterAutospacing="1"/>
        <w:ind w:firstLine="72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УСТАНОВИЛ:</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Врид военного комиссара Тверской области обратился в суд от имени ВКТО с исковым заявлением, в котором указал, что в связи с увольнением Кравцова с военной службы ему с ДД.ММ.ГГГГ была назначена и выплачивалась пенсия за выслугу лет в размере &lt;данные изъяты&gt; руб. &lt;данные изъяты&gt; коп., а с ДД.ММ.ГГГГ – в размере &lt;данные изъяты&gt; руб. &lt;данные изъяты&gt; коп.</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Решением Тверского гарнизонного военного суда от ДД.ММ.ГГГГ действия командующего &lt;данные изъяты&gt;, связанные с изданием приказов от ДД.ММ.ГГГГ № и от ДД.ММ.ГГГГ № об увольнении Кравцова с военной службы и исключении из списков личного состава воинской части признаны неправомерными, и он был восстановлен на военной службе с ДД.ММ.ГГГГ, при этом выплата пенсии за выслугу лет ему прекращена с ДД.ММ.ГГГГ.</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Поскольку в соответствии с п. 18 постановления Совета Министров – Правительства Российской Федерации от 22 сентября 1993 года №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федеральной противопожарной службе Государственной противопожарной службы, учреждениях и органах уголовно-исполнительной системы, и их семьям в Российской Федерации» (далее – Постановление) гражданам, которые в период получения оклада по воинскому (специальному) званию вновь поступают на военную службу, а также на службу в органы внутренних дел, федеральную противопожарную службу Государственной противопожарной службы, учреждения и органы уголовно-исполнительной системы, таможенные органы, в Следственный комитет Российской Федерации или органы прокуратуры Российской Федерации в качестве сотрудников, имеющих специальные звания, выплата оклада по воинскому званию прекращается со дня поступления на военную службу (службу), то в связи с восстановлением Кравцова на военной службе у него образовалась переплата пенсии за выслугу лет с ДД.ММ.ГГГГ по ДД.ММ.ГГГГ в сумме &lt;данные изъяты&gt; руб. &lt;данные изъяты&gt; коп.</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 необходимости возмещения указанной суммы денежных средств данный военнослужащий неоднократно информировался, но отказался добровольно оплатить задолженность.</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этой связи истец, ссылаясь также на положения Закона 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просит суд взыскать с Кравцова переплату пенсии за выслугу лет в указанной выше сумме.</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Будучи надлежащим образом извещенным о времени и месте судебного заседания, третье лицо – командир войсковой части № – в суд не прибыл, при этом ходатайствовал о рассмотрении дела без участия его представителя.</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дополнительных письменных пояснениях врид военного комиссара Тверской области, помимо доводов, изложенных в исковом заявлении, также отметил, что в заявлении от ДД.ММ.ГГГГ Кравцов собственноручно дал обязательство сообщать в ВКТО обо всех изменениях, влияющих на право получения пенсии. При этом в ДД.ММ.ГГГГ ответчик обратился в Тверской гарнизонный военный суд с заявлением об оспаривании действий командующего &lt;данные изъяты&gt;, и решением суда от ДД.ММ.ГГГГ заявленные требования в этой части были удовлетворены, однако о своем восстановлении на службе по решению суда Кравцов в адрес отдела ВКТО по г. Твери своевременно не сообщил и продолжал получать пенсию за выслугу лет.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Соответствующая выписка из приказа командующего &lt;данные изъяты&gt; от ДД.ММ.ГГГГ о восстановлении Кравцова на службе поступила в ВКТО лишь ДД.ММ.ГГГГ, при этом сам ответчик с заявлением о прекращении выплаты ему пенсии и направлении его личного дела в войсковую часть № в ВКТО не обращался.</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ДД.ММ.ГГГГ Кравцову было направлено письмо о необходимости оформления заявления о прекращении выплаты пенсии и решения вопроса о возмещении переплаченной пенсии, при этом такое заявление от него поступило в адрес отдела ВКТО по г. Твери ДД.ММ.ГГГГ, а ДД.ММ.ГГГГ личное дело Кравцова было направлено в воинскую часть.</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Кроме того, врид военного комиссара Тверской области также указал, что в соответствии с соглашением о порядке выплаты пенсий, пособий, компенсаций и иных выплат лицам, проходившим военную службу, и членам их семей от ДД.ММ.ГГГГ перечисление пенсий получателям производится Министерством обороны Российской Федерации не позднее второго рабочего дня текущего месяца.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судебном заседании представитель истца требования поддержал и настаивал на их удовлетворении в полном объеме, приведя в обоснование доводы, аналогичные изложенным в исковом заявлении и дополнениях к нему, дополнительно пояснив, что недобросовестность действий Кравцова в данном случае выразилась, помимо указанного выше, и в том, что он дважды получил денежные средства за один и тот же период времени – сначала как военный пенсионер, а затем как военнослужащий после его восстановления в списках личного состава воинской части, что является недопустимым.</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Относительно пояснений Кравцова о необходимости взыскания денежных средств с воинских должностных лиц, виновных в незаконном увольнении Кравцова с военной службы, представитель истца отметил, что субъектом пенсионных отношений в данном случае является именно ответчик, в связи с чем и выплаченные ему денежные средства должны быть взысканы именно с него.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свою очередь ответчик Кравцов предъявленные к нему требования не признал и пояснил, что, на его взгляд, сообщать в ВКТО о наличии решения Тверского гарнизонного военного суда от ДД.ММ.ГГГГ до его вступления в законную силу смысла не имело, а окончательный результат по делу он узнал только в ДД.ММ.ГГГГ после получения на руки копии апелляционного определения, поскольку на заседании вышестоящей судебной инстанции не присутствовал.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FF3333"/>
          <w:sz w:val="24"/>
          <w:szCs w:val="24"/>
          <w:lang w:eastAsia="ru-RU"/>
        </w:rPr>
        <w:t>В связи с неисполнением решения суда ДД.ММ.ГГГГ он направил на Интернет-сайт &lt;данные изъяты&gt; соответствующее обращение, на которое ДД.ММ.ГГГГ получил по почте ответ о восстановлении его на военной службе.</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FF3333"/>
          <w:sz w:val="24"/>
          <w:szCs w:val="24"/>
          <w:lang w:eastAsia="ru-RU"/>
        </w:rPr>
        <w:t xml:space="preserve">После этого в устном порядке Кравцов обратился </w:t>
      </w:r>
      <w:r>
        <w:rPr>
          <w:rFonts w:eastAsia="Times New Roman" w:cs="Times New Roman" w:ascii="Times New Roman" w:hAnsi="Times New Roman"/>
          <w:sz w:val="24"/>
          <w:szCs w:val="24"/>
          <w:lang w:eastAsia="ru-RU"/>
        </w:rPr>
        <w:t>по этому поводу к сотрудникам ВКТО, однако те сообщили, что каких-либо документов о его восстановлении на службе у них не имеется. В свою очередь в воинской части ему пояснили, что на службу он может прибыть лишь имея на руках предписание из ВКТО.</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 мнению Кравцова, прекращение выплаты ему пенсии связанно именно с его устным обращением в ВКТО.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 весь период досудебного урегулирования спора Кравцову никто так и не предоставил оформленный надлежащим образом расчет взыскиваемой с него пенсии, тогда как, исходя из справки о состоянии вклада, и с учетом удержанных с него алиментов, этот размер отличается от суммы предъявленных к нему исковых требований.</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Кроме того, Кравцов отметил, что, на его взгляд, о наступлении условий, влекущих прекращение выплаты ему пенсии, он должен был сообщить в ВКТО лишь после фактического восстановления на службе, поскольку в ином случае он вовсе бы лишился средств к существованию, в связи с тем, что денежное довольствие непосредственно после вынесения судом решения ему еще не выплачивалось.</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Денежное довольствие как военнослужащему Кравцову было перечислено ДД.ММ.ГГГГ, однако из чего складывалась эта сумма, он не знает.</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любом случае эти денежные средства имеют иную правовую природу, нежели пенсионное обеспечение, а поэтому назначенная и выплаченная ему на законных основаниях пенсия за указанный в исковом заявлении период времени взысканию с него не подлежит.</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заключение ответчик также отметил, что, на его взгляд, вопрос о возмещении выплаченных ему в качестве пенсии денежных средств должен разрешаться путем взыскания таковых с виновных в его незаконном увольнении со службы воинских должностных лиц в соответствии с положениями Федерального закона от 12 июля 1999 года № 161-ФЗ «О материальной ответственности военнослужащих».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Заслушав пояснения представителя истца и ответчика, исследовав материалы дела, суд приходит к следующим выводам.</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Как установлено в судебном заседании, Кравцов вплоть до ДД.ММ.ГГГГ проходил военную службу по контракту в войсковой части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Приказом командующего &lt;данные изъяты&gt; названный военнослужащий был уволен с военной службы в отставку по состоянию здоровья (подп. «в» п. 1 ст. 51 Федерального закона от 28 марта 1998 года № 53-ФЗ «О воинской обязанности и военной службе»), а с ДД.ММ.ГГГГ – исключен из списков личного состава воинской части, с направлением на воинский учет в ВКТО.</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ДД.ММ.ГГГГ Кравцов обратился к начальнику отдела ВКТО по г. Твери с заявлением на оформление ему пенсии за выслугу лет, и таковая была ему назначена с ДД.ММ.ГГГГ в ежемесячном размере &lt;данные изъяты&gt; руб. &lt;данные изъяты&gt; коп., а с ДД.ММ.ГГГГ – в размере &lt;данные изъяты&gt; руб. &lt;данные изъяты&gt; коп.</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Всего за период с ДД.ММ.ГГГГ по ДД.ММ.ГГГГ Кравцову было перечислено &lt;данные изъяты&gt; руб. &lt;данные изъяты&gt; коп., из которых фактически выплачено, с учетом предусмотренных законом удержаний, &lt;данные изъяты&gt; руб. &lt;данные изъяты&gt; коп. Пенсия за ДД.ММ.ГГГГ была перечислена ответчику 2 числа этого же месяца.</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Решением Тверского гарнизонного военного суда от ДД.ММ.ГГГГ, вступившим в законную силу, с учетом его обжалования в апелляционном порядке, ДД.ММ.ГГГГ, действия командующего &lt;данные изъяты&gt;, связанные с увольнением Кравцова с военной службы и исключением из списков личного состава воинской части, признаны неправомерными, и на указанное должностное лицо возложена обязанность по отмене этих приказов и восстановлении Кравцова на военной службе с ДД.ММ.ГГГГ.</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Приказами командующего &lt;данные изъяты&gt; от ДД.ММ.ГГГГ приказы об увольнении ответчика с военной службы и исключении из списков личного состава воинской части отменены, а с ДД.ММ.ГГГГ выплата пенсии за выслугу лет ему прекращена в связи с поступлением на службу.</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Данные обстоятельства, помимо пояснений представителя истца и ответчика, подтверждаются также следующими документами: копиями выписок из приказов командующего &lt;данные изъяты&gt; от ДД.ММ.ГГГГ № и от ДД.ММ.ГГГГ №, заявления о назначении (возобновлении) пенсии от ДД.ММ.ГГГГ; расчета на пенсию за выслугу лет; уведомления о назначении пенсии; справки о перечислении денежных средств от ДД.ММ.ГГГГ; справки о состоянии вклада от ДД.ММ.ГГГГ; решения Тверского гарнизонного военного суда от ДД.ММ.ГГГГ; апелляционного определения &lt;данные изъяты&gt; от ДД.ММ.ГГГГ; выписками из приказов командующего &lt;данные изъяты&gt; от ДД.ММ.ГГГГ №, от ДД.ММ.ГГГГ № и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Согласно ст. 10 Закона выплата пенсий обеспечивается за счет средств федерального бюджета. При этом финансирование расходов на выплату пенсий осуществляется в централизованном порядке.</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Из п. 2 Положения о военных комиссариатах, утвержденного Указом Президента Российской Федерации от 7 декабря 2012 года № 1609 усматривается, что военный комиссариат создается в субъекте Российской Федерации в целях, в том числе, пенсионного обеспечения в соответствии с законодательством Российской Федерации.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соответствии с п. «а» ст. 1 Закона условия, нормы и порядок пенсионного обеспечения, предусмотренные его положениями, распространяются, в частности, на лиц, проходивших военную службу в качестве офицеров в Вооруженных Силах Российской Федерации.</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силу подп. «а» п. 1 ст. 53 Закона пенсии назначаются лицам, указанным в ст. 1 Закона, - со дня увольнения со службы, но не ранее дня, до которого им выплачено денежное довольствие при увольнении.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то же время согласно ст. 6 Закона пенсионерам из числа лиц, указанных в ст. 1 Закона, при поступлении их на военную службу или на службу в органы внутренних дел, в Государственную противопожарную службу или учреждения и органы уголовно-исполнительной системы (в том числе в любых других государствах), Федеральную службу войск национальной гвардии Российской Федерации выплата назначенных пенсий на время службы приостанавливается.</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Статьей 56 Закона предусматривается, что лица, указанные в ст. 1 Закона, несут ответственность за недостоверность сведений, содержащихся в заявлениях, представляемых ими в пенсионный орган для назначения и выплаты пенсии. В случае, если представление недостоверных сведений или несвоевременное представление повлекло за собой перерасход средств на выплату пенсий, виновные лица возмещают государству причиненный ущерб в порядке, установленном законодательством Российской Федерации.</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Порядок взыскания суммы пенсии, излишне выплаченный пенсионеру вследствие злоупотребления с его стороны, установлен ст. 62 Закона.</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Согласно п. 1 ст. 1102 Гражданского кодекса Российской Федерации (далее –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 1109 ГК РФ.</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соответствии с п. 3 ст. 1109 ГК РФ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Кроме того, анализируя сходные по структуре правового регулирования положения п. 4 ст. 23 Федерального закона от 17 декабря 2001 года № 173-ФЗ «О трудовых пенсиях в Российской Федерации» в развитие положений абз. 3 п. 2 ст. 15 Федерального закона от 15 декабря 2001 года № 167-ФЗ «Об обязательном пенсионном страховании в Российской Федерации», также п. 2 ст. 25 Федерального закона от 17 декабря 2001 года № 173-ФЗ «О трудовых пенсиях в Российской Федерации», Конституционный Суд Российской Федерации в Определении от 25 сентября 2014 года № 2073-О указал, что действующее законодательство не предполагает возложения на гражданина обязанности по возмещению возникшего в результате необоснованного назначения и выплаты трудовой пенсии перерасхода средств на выплату трудовых пенсий Пенсионному фонду Российской Федерации при отсутствии недобросовестности со стороны получателя пенсии и наличии счетной ошибки.</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Регулирование правового положения военнослужащих и приравненных к ним категорий граждан основано на специальном порядке получения данного специального статуса и порядке его изменения (прекращения).</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Согласно ст. 23 Федерального закона от 27 мая 1998 года № 76-ФЗ «О статусе военнослужащих» восстановление на военной службе необоснованно уволенных с военной службы военнослужащих осуществляется в соответствии с Положением о порядке прохождения военной службы.</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Подпунктом 22 п. 34 Положения о порядке прохождения военной службы, утвержденного Указом Президента Российской Федерации от 16 сентября 1999 года № 1237, предусмотрено, что восстановление на военной службе гражданина в соответствии с решением суда производится путем отмены приказа об увольнении военнослужащего с военной службы.</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Отмена приказа об увольнении военнослужащего с военной службы производится должностным лицом, издавшим приказ, или его прямым начальником.</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этом подп. 23 п. 34 названного Положения установлено, что военная служба оканчивается в день исключения военнослужащего из списков личного состава воинской части.</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FF3333"/>
          <w:sz w:val="24"/>
          <w:szCs w:val="24"/>
          <w:lang w:eastAsia="ru-RU"/>
        </w:rPr>
        <w:t>Согласно</w:t>
      </w:r>
      <w:r>
        <w:rPr>
          <w:rFonts w:eastAsia="Times New Roman" w:cs="Times New Roman" w:ascii="Times New Roman" w:hAnsi="Times New Roman"/>
          <w:sz w:val="24"/>
          <w:szCs w:val="24"/>
          <w:lang w:eastAsia="ru-RU"/>
        </w:rPr>
        <w:t xml:space="preserve"> разъяснениям, данным в п. 50 постановления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 в случае признания судом увольнения с военной службы необоснованным военнослужащий в соответствии с п. 2 ст. 23 Федерального закона «О статусе военнослужащих» подлежит восстановлению на военной службе в прежней должности с возмещением всех причиненных убытков. Восстановление на военной службе производится путем отмены приказа об увольнении военнослужащего с военной службы. Отмена приказа об увольнении военнослужащего с военной службы производится воинским должностным лицом, издавшим приказ, или его прямым начальником.</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 вышеприведенных норм права, касающихся пенсионного обеспечения лиц, уволенных с военной службы, следует, что обстоятельством, имеющим юридическое значение для правильного рассмотрения настоящего дела, является факт установления недобросовестности в действиях Кравцова при получении им пенсии или счетной ошибки, при этом доказывание этого факта, по общему правилу, лежит на истце.</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Обращаясь в суд, врид военного комиссара Тверской области в исковом заявлении, а представитель ВКТО в судебном заседании, каждый в отдельности, указали, что недобросовестность действий Кравцова в данной ситуации, по их мнению, выразилась в том, что ответчик, будучи осведомленным о наличии решения суда о восстановлении его на военной службе, не сообщил об этом в орган, выплачивающий ему пенсию, что повлекло за собой переплату ему таковой, а также получение им в итоге денежных средств за один и тот же период времени дважды.</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Вместе с тем, в данном конкретном случае суд полагает эти суждения указанных лиц ошибочными, поскольку само по себе решение суда о восстановлении Кравцова на военной службе каких-либо изменений в его правовом положении ни как военного пенсионера, ни как военнослужащего не повлекло, а статус военнослужащего ответчик вновь приобрел только после издания полномочным должностным лицом соответствующих приказов на основании обязательного к исполнению вступившего в законную силу решения суда.</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этом по делу достоверно установлено, что приказы о восстановлении ответчика на военной службе и в списках личного состава войсковой части № были изданы командующим &lt;данные изъяты&gt; только ДД.ММ.ГГГГ, в связи с чем и добросовестность дальнейших действий Кравцова в отношении получаемой им пенсии – источника его существования – должна оцениваться именно с того момента, когда он узнал о своем фактическом восстановлении на службе, то есть, во всяком случае, не ранее даты издания приказов об этом – ДД.ММ.ГГГГ.</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рассматриваемой же ситуации суд исходит из того, что пенсия за ДД.ММ.ГГГГ ответчику была перечислена ДД.ММ.ГГГГ, то есть еще до издания приказов о восстановлении его на военной службе, а с ДД.ММ.ГГГГ выплата пенсии ему была уже прекращена в связи с поступлением на службу.</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Учитывая, что в период времени с ДД.ММ.ГГГГ по ДД.ММ.ГГГГ денежные средства в счет пенсии Кравцову не перечислялись, суд приходит к выводу, что в данной ситуации какой-либо недобросовестности в его действиях, повлекшей производство необоснованных выплат в этой части, не имелось.</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Более того, суд также не оставляет без внимания и то обстоятельство, что сведений о доведении до Кравцова в предусмотренном законом порядке полномочными лицами об издании командующим &lt;данные изъяты&gt; приказов о его восстановлении на службе ранее ДД.ММ.ГГГГ (даты прекращения выплаты пенсии) материалы дела не содержат, поскольку соответствующее предписание о необходимости убытия в воинскую часть для восстановления в списках личного состава и дальнейшего прохождения службы, выданное Кравцову начальником отдела ВКТО по г. Твери, датировано ДД.ММ.ГГГГ. Сам же ответчик, согласно его неопровергнутым стороной истца пояснениям, узнал об издании этих приказов только после поступления к нему ДД.ММ.ГГГГ по почте ответа начальника &lt;данные изъяты&gt; на его обращение по поводу неисполнения вынесенного судом решения.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Одновременно с этим, отмечает суд, действия должностных лиц ВКТО по перечислению Кравцову пенсии с ДД.ММ.ГГГГ по ДД.ММ.ГГГГ под понятие «счетной ошибки» очевидно не подпадают, поскольку связаны не с какими-либо нарушениями арифметической направленности, а с его неправомерным увольнением с военной службы.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Ссылку врид ВКТО в исковом заявлении на п. 18 Постановления суд находит беспредметной и не относящейся к рассматриваемому делу, поскольку данное положение закона касается выплаты определенным в ней категориям граждан оклада по воинскому (специальному) званию в течение 1 года после их увольнения со службы, тогда как в данном случае спорные выплаты имеют иную правовую природу.</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Перечисление ДД.ММ.ГГГГ федеральным казенным учреждением &lt;данные изъяты&gt; Кравцову денежного довольствия как военнослужащему за период с ДД.ММ.ГГГГ по ДД.ММ.ГГГГ после его восстановления на военной службе, на что, в том числе, ссылается представитель истца, также, по мнению суда, не свидетельствует о какой-либо недобросовестности в действиях ответчика по получению им пенсии и, соответственно, о возможности взыскания с Кравцова тех денежных средств, которые ранее выплачивались ему именно в виде пенсии и являлись на тот момент для ответчика средством к существованию. </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Таким образом, проанализировав установленные в судебном заседании обстоятельства в совокупности с нормами действующего законодательства, суд не находит оснований для взыскания с Кравцова выплаченных ему в период с ДД.ММ.ГГГГ по ДД.ММ.ГГГГ в качестве пенсии за выслугу лет денежных средств, в связи с чем приходит к выводу о необходимости отказа в удовлетворении заявленных к нему исковых требований в полном объеме.</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основании изложенного и руководствуясь ст.ст. 194-199 ГПК РФ, военный суд</w:t>
      </w:r>
    </w:p>
    <w:p>
      <w:pPr>
        <w:pStyle w:val="Normal"/>
        <w:spacing w:lineRule="auto" w:line="240" w:beforeAutospacing="1" w:afterAutospacing="1"/>
        <w:ind w:firstLine="72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РЕШИЛ:</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удовлетворении искового заявления федерального казенного учреждения «Военный комиссариат Тверской области» к Кравцову Геннадию Александровичу о взыскании суммы излишне выплаченных денежных средств отказать.</w:t>
      </w:r>
    </w:p>
    <w:p>
      <w:pPr>
        <w:pStyle w:val="Normal"/>
        <w:spacing w:lineRule="auto" w:line="240" w:beforeAutospacing="1" w:afterAutospacing="1"/>
        <w:ind w:firstLine="72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решение может быть подана апелляционная жалоба в Московский окружной военный суд через Тверской гарнизонный военный суд в течение месяца со дня его принятия в окончательной форме.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Председательствующий: </w:t>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1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054f"/>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2"/>
    <w:pPr/>
    <w:rPr/>
  </w:style>
  <w:style w:type="paragraph" w:styleId="2">
    <w:name w:val="Заголовок 2"/>
    <w:basedOn w:val="Style12"/>
    <w:pPr/>
    <w:rPr/>
  </w:style>
  <w:style w:type="paragraph" w:styleId="3">
    <w:name w:val="Заголовок 3"/>
    <w:basedOn w:val="Style12"/>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6a1fec"/>
    <w:rPr>
      <w:color w:val="0000FF"/>
      <w:u w:val="single"/>
    </w:rPr>
  </w:style>
  <w:style w:type="character" w:styleId="Nomer2" w:customStyle="1">
    <w:name w:val="nomer2"/>
    <w:basedOn w:val="DefaultParagraphFont"/>
    <w:qFormat/>
    <w:rsid w:val="006a1fec"/>
    <w:rPr/>
  </w:style>
  <w:style w:type="character" w:styleId="Others1" w:customStyle="1">
    <w:name w:val="others1"/>
    <w:basedOn w:val="DefaultParagraphFont"/>
    <w:qFormat/>
    <w:rsid w:val="006a1fec"/>
    <w:rPr/>
  </w:style>
  <w:style w:type="character" w:styleId="Data2" w:customStyle="1">
    <w:name w:val="data2"/>
    <w:basedOn w:val="DefaultParagraphFont"/>
    <w:qFormat/>
    <w:rsid w:val="006a1fec"/>
    <w:rPr/>
  </w:style>
  <w:style w:type="character" w:styleId="Others2" w:customStyle="1">
    <w:name w:val="others2"/>
    <w:basedOn w:val="DefaultParagraphFont"/>
    <w:qFormat/>
    <w:rsid w:val="006a1fec"/>
    <w:rPr/>
  </w:style>
  <w:style w:type="character" w:styleId="Others3" w:customStyle="1">
    <w:name w:val="others3"/>
    <w:basedOn w:val="DefaultParagraphFont"/>
    <w:qFormat/>
    <w:rsid w:val="006a1fec"/>
    <w:rPr/>
  </w:style>
  <w:style w:type="character" w:styleId="Others4" w:customStyle="1">
    <w:name w:val="others4"/>
    <w:basedOn w:val="DefaultParagraphFont"/>
    <w:qFormat/>
    <w:rsid w:val="006a1fec"/>
    <w:rPr/>
  </w:style>
  <w:style w:type="character" w:styleId="Others5" w:customStyle="1">
    <w:name w:val="others5"/>
    <w:basedOn w:val="DefaultParagraphFont"/>
    <w:qFormat/>
    <w:rsid w:val="006a1fec"/>
    <w:rPr/>
  </w:style>
  <w:style w:type="character" w:styleId="Others6" w:customStyle="1">
    <w:name w:val="others6"/>
    <w:basedOn w:val="DefaultParagraphFont"/>
    <w:qFormat/>
    <w:rsid w:val="006a1fec"/>
    <w:rPr/>
  </w:style>
  <w:style w:type="character" w:styleId="Others7" w:customStyle="1">
    <w:name w:val="others7"/>
    <w:basedOn w:val="DefaultParagraphFont"/>
    <w:qFormat/>
    <w:rsid w:val="006a1fec"/>
    <w:rPr/>
  </w:style>
  <w:style w:type="character" w:styleId="Others8" w:customStyle="1">
    <w:name w:val="others8"/>
    <w:basedOn w:val="DefaultParagraphFont"/>
    <w:qFormat/>
    <w:rsid w:val="006a1fec"/>
    <w:rPr/>
  </w:style>
  <w:style w:type="character" w:styleId="Others9" w:customStyle="1">
    <w:name w:val="others9"/>
    <w:basedOn w:val="DefaultParagraphFont"/>
    <w:qFormat/>
    <w:rsid w:val="006a1fec"/>
    <w:rPr/>
  </w:style>
  <w:style w:type="character" w:styleId="Others10" w:customStyle="1">
    <w:name w:val="others10"/>
    <w:basedOn w:val="DefaultParagraphFont"/>
    <w:qFormat/>
    <w:rsid w:val="006a1fec"/>
    <w:rPr/>
  </w:style>
  <w:style w:type="character" w:styleId="Others11" w:customStyle="1">
    <w:name w:val="others11"/>
    <w:basedOn w:val="DefaultParagraphFont"/>
    <w:qFormat/>
    <w:rsid w:val="006a1fec"/>
    <w:rPr/>
  </w:style>
  <w:style w:type="character" w:styleId="Others12" w:customStyle="1">
    <w:name w:val="others12"/>
    <w:basedOn w:val="DefaultParagraphFont"/>
    <w:qFormat/>
    <w:rsid w:val="006a1fec"/>
    <w:rPr/>
  </w:style>
  <w:style w:type="character" w:styleId="Others13" w:customStyle="1">
    <w:name w:val="others13"/>
    <w:basedOn w:val="DefaultParagraphFont"/>
    <w:qFormat/>
    <w:rsid w:val="006a1fec"/>
    <w:rPr/>
  </w:style>
  <w:style w:type="character" w:styleId="Others14" w:customStyle="1">
    <w:name w:val="others14"/>
    <w:basedOn w:val="DefaultParagraphFont"/>
    <w:qFormat/>
    <w:rsid w:val="006a1fec"/>
    <w:rPr/>
  </w:style>
  <w:style w:type="character" w:styleId="Others15" w:customStyle="1">
    <w:name w:val="others15"/>
    <w:basedOn w:val="DefaultParagraphFont"/>
    <w:qFormat/>
    <w:rsid w:val="006a1fec"/>
    <w:rPr/>
  </w:style>
  <w:style w:type="character" w:styleId="Others16" w:customStyle="1">
    <w:name w:val="others16"/>
    <w:basedOn w:val="DefaultParagraphFont"/>
    <w:qFormat/>
    <w:rsid w:val="006a1fec"/>
    <w:rPr/>
  </w:style>
  <w:style w:type="character" w:styleId="Others17" w:customStyle="1">
    <w:name w:val="others17"/>
    <w:basedOn w:val="DefaultParagraphFont"/>
    <w:qFormat/>
    <w:rsid w:val="006a1fec"/>
    <w:rPr/>
  </w:style>
  <w:style w:type="character" w:styleId="Others18" w:customStyle="1">
    <w:name w:val="others18"/>
    <w:basedOn w:val="DefaultParagraphFont"/>
    <w:qFormat/>
    <w:rsid w:val="006a1fec"/>
    <w:rPr/>
  </w:style>
  <w:style w:type="character" w:styleId="Others19" w:customStyle="1">
    <w:name w:val="others19"/>
    <w:basedOn w:val="DefaultParagraphFont"/>
    <w:qFormat/>
    <w:rsid w:val="006a1fec"/>
    <w:rPr/>
  </w:style>
  <w:style w:type="character" w:styleId="Others20" w:customStyle="1">
    <w:name w:val="others20"/>
    <w:basedOn w:val="DefaultParagraphFont"/>
    <w:qFormat/>
    <w:rsid w:val="006a1fec"/>
    <w:rPr/>
  </w:style>
  <w:style w:type="character" w:styleId="Others21" w:customStyle="1">
    <w:name w:val="others21"/>
    <w:basedOn w:val="DefaultParagraphFont"/>
    <w:qFormat/>
    <w:rsid w:val="006a1fec"/>
    <w:rPr/>
  </w:style>
  <w:style w:type="character" w:styleId="Others22" w:customStyle="1">
    <w:name w:val="others22"/>
    <w:basedOn w:val="DefaultParagraphFont"/>
    <w:qFormat/>
    <w:rsid w:val="006a1fec"/>
    <w:rPr/>
  </w:style>
  <w:style w:type="character" w:styleId="Others23" w:customStyle="1">
    <w:name w:val="others23"/>
    <w:basedOn w:val="DefaultParagraphFont"/>
    <w:qFormat/>
    <w:rsid w:val="006a1fec"/>
    <w:rPr/>
  </w:style>
  <w:style w:type="character" w:styleId="Others28" w:customStyle="1">
    <w:name w:val="others28"/>
    <w:basedOn w:val="DefaultParagraphFont"/>
    <w:qFormat/>
    <w:rsid w:val="006a1fec"/>
    <w:rPr/>
  </w:style>
  <w:style w:type="character" w:styleId="Others29" w:customStyle="1">
    <w:name w:val="others29"/>
    <w:basedOn w:val="DefaultParagraphFont"/>
    <w:qFormat/>
    <w:rsid w:val="006a1fec"/>
    <w:rPr/>
  </w:style>
  <w:style w:type="character" w:styleId="Others24" w:customStyle="1">
    <w:name w:val="others24"/>
    <w:basedOn w:val="DefaultParagraphFont"/>
    <w:qFormat/>
    <w:rsid w:val="006a1fec"/>
    <w:rPr/>
  </w:style>
  <w:style w:type="character" w:styleId="Others25" w:customStyle="1">
    <w:name w:val="others25"/>
    <w:basedOn w:val="DefaultParagraphFont"/>
    <w:qFormat/>
    <w:rsid w:val="006a1fec"/>
    <w:rPr/>
  </w:style>
  <w:style w:type="character" w:styleId="Others26" w:customStyle="1">
    <w:name w:val="others26"/>
    <w:basedOn w:val="DefaultParagraphFont"/>
    <w:qFormat/>
    <w:rsid w:val="006a1fec"/>
    <w:rPr/>
  </w:style>
  <w:style w:type="character" w:styleId="Others27" w:customStyle="1">
    <w:name w:val="others27"/>
    <w:basedOn w:val="DefaultParagraphFont"/>
    <w:qFormat/>
    <w:rsid w:val="006a1fec"/>
    <w:rPr/>
  </w:style>
  <w:style w:type="paragraph" w:styleId="Style12">
    <w:name w:val="Заголовок"/>
    <w:basedOn w:val="Normal"/>
    <w:next w:val="Style13"/>
    <w:qFormat/>
    <w:pPr>
      <w:keepNext/>
      <w:spacing w:before="240" w:after="120"/>
    </w:pPr>
    <w:rPr>
      <w:rFonts w:ascii="Liberation Sans" w:hAnsi="Liberation Sans" w:eastAsia="Microsoft YaHei" w:cs="Lucida Sans"/>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Lucida Sans"/>
    </w:rPr>
  </w:style>
  <w:style w:type="paragraph" w:styleId="Style15">
    <w:name w:val="Название"/>
    <w:basedOn w:val="Normal"/>
    <w:pPr>
      <w:suppressLineNumbers/>
      <w:spacing w:before="120" w:after="120"/>
    </w:pPr>
    <w:rPr>
      <w:rFonts w:cs="Lucida Sans"/>
      <w:i/>
      <w:iCs/>
      <w:sz w:val="24"/>
      <w:szCs w:val="24"/>
    </w:rPr>
  </w:style>
  <w:style w:type="paragraph" w:styleId="Style16">
    <w:name w:val="Указатель"/>
    <w:basedOn w:val="Normal"/>
    <w:qFormat/>
    <w:pPr>
      <w:suppressLineNumbers/>
    </w:pPr>
    <w:rPr>
      <w:rFonts w:cs="Lucida Sans"/>
    </w:rPr>
  </w:style>
  <w:style w:type="paragraph" w:styleId="A" w:customStyle="1">
    <w:name w:val="a"/>
    <w:basedOn w:val="Normal"/>
    <w:qFormat/>
    <w:rsid w:val="006a1fec"/>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 w:customStyle="1">
    <w:name w:val="consplusnormal"/>
    <w:basedOn w:val="Normal"/>
    <w:qFormat/>
    <w:rsid w:val="006a1fec"/>
    <w:pPr>
      <w:spacing w:lineRule="auto" w:line="240" w:beforeAutospacing="1" w:afterAutospacing="1"/>
    </w:pPr>
    <w:rPr>
      <w:rFonts w:ascii="Times New Roman" w:hAnsi="Times New Roman" w:eastAsia="Times New Roman" w:cs="Times New Roman"/>
      <w:sz w:val="24"/>
      <w:szCs w:val="24"/>
      <w:lang w:eastAsia="ru-RU"/>
    </w:rPr>
  </w:style>
  <w:style w:type="paragraph" w:styleId="Style17">
    <w:name w:val="Блочная цитата"/>
    <w:basedOn w:val="Normal"/>
    <w:qFormat/>
    <w:pPr/>
    <w:rPr/>
  </w:style>
  <w:style w:type="paragraph" w:styleId="Style18">
    <w:name w:val="Заглавие"/>
    <w:basedOn w:val="Style12"/>
    <w:pPr/>
    <w:rPr/>
  </w:style>
  <w:style w:type="paragraph" w:styleId="Style19">
    <w:name w:val="Подзаголовок"/>
    <w:basedOn w:val="Style12"/>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tverskoy--twr.sudrf.ru/modules.php?name=sud_delo&amp;srv_num=1&amp;name_op=case&amp;n_c=1&amp;case_id=107195340&amp;delo_id=1540005&amp;new="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LibreOffice/4.4.4.3$Windows_x86 LibreOffice_project/2c39ebcf046445232b798108aa8a7e7d89552ea8</Application>
  <Paragraphs>70</Paragraph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2017-04-25T18:55:00Z</dcterms:created>
  <dc:creator>User</dc:creator>
  <dc:language>ru-RU</dc:language>
  <dcterms:modified xsi:type="dcterms:W3CDTF">2017-05-01T09:50:16Z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