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mesNewRoman"/>
        <w:ind w:left="2552" w:hanging="0"/>
        <w:rPr>
          <w:b/>
          <w:b/>
        </w:rPr>
      </w:pPr>
      <w:r>
        <w:rPr>
          <w:b/>
        </w:rPr>
      </w:r>
    </w:p>
    <w:p>
      <w:pPr>
        <w:pStyle w:val="TimesNewRoman"/>
        <w:ind w:left="2552" w:hanging="0"/>
        <w:rPr>
          <w:b/>
          <w:b/>
        </w:rPr>
      </w:pPr>
      <w:r>
        <w:rPr>
          <w:b/>
        </w:rPr>
        <w:t>В МОСКОВСКИЙ ОКРУЖНОЙ ВОЕННЫЙ СУД</w:t>
      </w:r>
    </w:p>
    <w:p>
      <w:pPr>
        <w:pStyle w:val="TimesNewRoman"/>
        <w:ind w:left="2552" w:hanging="0"/>
        <w:jc w:val="center"/>
        <w:rPr/>
      </w:pPr>
      <w:r>
        <w:rPr/>
        <w:t>(через Рязанский гарнизонный военный суд)</w:t>
      </w:r>
    </w:p>
    <w:p>
      <w:pPr>
        <w:pStyle w:val="TimesNewRoman"/>
        <w:ind w:left="2552" w:hanging="0"/>
        <w:rPr>
          <w:b/>
          <w:b/>
          <w:bCs/>
          <w:sz w:val="20"/>
          <w:szCs w:val="20"/>
          <w:u w:val="single"/>
        </w:rPr>
      </w:pPr>
      <w:r>
        <w:rPr>
          <w:b/>
          <w:bCs/>
          <w:sz w:val="20"/>
          <w:szCs w:val="20"/>
          <w:u w:val="single"/>
        </w:rPr>
      </w:r>
    </w:p>
    <w:p>
      <w:pPr>
        <w:pStyle w:val="Normal"/>
        <w:spacing w:lineRule="auto" w:line="240" w:before="0" w:after="0"/>
        <w:ind w:left="2552" w:hanging="0"/>
        <w:jc w:val="both"/>
        <w:rPr/>
      </w:pPr>
      <w:r>
        <w:rPr>
          <w:rFonts w:ascii="Times New Roman" w:hAnsi="Times New Roman"/>
          <w:b/>
          <w:sz w:val="28"/>
          <w:szCs w:val="28"/>
        </w:rPr>
        <w:t xml:space="preserve">Ответчик: </w:t>
      </w:r>
    </w:p>
    <w:p>
      <w:pPr>
        <w:pStyle w:val="Normal"/>
        <w:spacing w:lineRule="auto" w:line="240" w:before="0" w:after="0"/>
        <w:jc w:val="both"/>
        <w:rPr>
          <w:rFonts w:ascii="Times New Roman" w:hAnsi="Times New Roman"/>
          <w:b/>
          <w:b/>
          <w:sz w:val="20"/>
          <w:szCs w:val="20"/>
        </w:rPr>
      </w:pPr>
      <w:r>
        <w:rPr>
          <w:rFonts w:ascii="Times New Roman" w:hAnsi="Times New Roman"/>
          <w:b/>
          <w:sz w:val="20"/>
          <w:szCs w:val="20"/>
        </w:rPr>
      </w:r>
    </w:p>
    <w:p>
      <w:pPr>
        <w:pStyle w:val="Normal"/>
        <w:spacing w:lineRule="auto" w:line="240" w:before="0" w:after="0"/>
        <w:ind w:left="2552" w:hanging="0"/>
        <w:jc w:val="both"/>
        <w:rPr/>
      </w:pPr>
      <w:r>
        <w:rPr>
          <w:rFonts w:ascii="Times New Roman" w:hAnsi="Times New Roman"/>
          <w:b/>
          <w:sz w:val="28"/>
          <w:szCs w:val="28"/>
        </w:rPr>
        <w:t>Истец:</w:t>
      </w:r>
      <w:r>
        <w:rPr>
          <w:rFonts w:ascii="Times New Roman" w:hAnsi="Times New Roman"/>
          <w:sz w:val="28"/>
          <w:szCs w:val="28"/>
        </w:rPr>
        <w:t xml:space="preserve"> </w:t>
      </w:r>
    </w:p>
    <w:p>
      <w:pPr>
        <w:pStyle w:val="Normal"/>
        <w:spacing w:lineRule="auto" w:line="240" w:before="0" w:after="0"/>
        <w:ind w:left="2552" w:hanging="0"/>
        <w:jc w:val="both"/>
        <w:rPr>
          <w:rFonts w:ascii="Times New Roman" w:hAnsi="Times New Roman"/>
          <w:sz w:val="28"/>
          <w:szCs w:val="28"/>
          <w:shd w:fill="FFFFFF" w:val="clear"/>
        </w:rPr>
      </w:pPr>
      <w:r>
        <w:rPr/>
      </w:r>
    </w:p>
    <w:p>
      <w:pPr>
        <w:pStyle w:val="TimesNewRoman"/>
        <w:ind w:hanging="0"/>
        <w:rPr>
          <w:b/>
          <w:b/>
          <w:sz w:val="20"/>
          <w:szCs w:val="20"/>
          <w:u w:val="single"/>
        </w:rPr>
      </w:pPr>
      <w:r>
        <w:rPr>
          <w:b/>
          <w:sz w:val="20"/>
          <w:szCs w:val="20"/>
          <w:u w:val="single"/>
        </w:rPr>
      </w:r>
    </w:p>
    <w:p>
      <w:pPr>
        <w:pStyle w:val="TimesNewRoman"/>
        <w:ind w:hanging="0"/>
        <w:jc w:val="center"/>
        <w:rPr>
          <w:b/>
          <w:b/>
          <w:sz w:val="20"/>
          <w:szCs w:val="20"/>
          <w:u w:val="single"/>
        </w:rPr>
      </w:pPr>
      <w:r>
        <w:rPr>
          <w:b/>
          <w:sz w:val="20"/>
          <w:szCs w:val="20"/>
          <w:u w:val="single"/>
        </w:rPr>
      </w:r>
    </w:p>
    <w:p>
      <w:pPr>
        <w:pStyle w:val="TimesNewRoman"/>
        <w:ind w:hanging="0"/>
        <w:rPr>
          <w:b/>
          <w:b/>
          <w:sz w:val="20"/>
          <w:szCs w:val="20"/>
          <w:u w:val="single"/>
        </w:rPr>
      </w:pPr>
      <w:r>
        <w:rPr>
          <w:b/>
          <w:sz w:val="20"/>
          <w:szCs w:val="20"/>
          <w:u w:val="single"/>
        </w:rPr>
      </w:r>
    </w:p>
    <w:p>
      <w:pPr>
        <w:pStyle w:val="TimesNewRoman"/>
        <w:ind w:hanging="0"/>
        <w:jc w:val="center"/>
        <w:rPr>
          <w:b/>
          <w:b/>
          <w:sz w:val="20"/>
          <w:szCs w:val="20"/>
          <w:u w:val="single"/>
        </w:rPr>
      </w:pPr>
      <w:r>
        <w:rPr>
          <w:b/>
          <w:sz w:val="20"/>
          <w:szCs w:val="20"/>
          <w:u w:val="single"/>
        </w:rPr>
      </w:r>
    </w:p>
    <w:p>
      <w:pPr>
        <w:pStyle w:val="TimesNewRoman"/>
        <w:ind w:hanging="0"/>
        <w:jc w:val="center"/>
        <w:rPr>
          <w:b/>
          <w:b/>
        </w:rPr>
      </w:pPr>
      <w:r>
        <w:rPr>
          <w:b/>
        </w:rPr>
        <w:t>АПЕЛЛЯЦИОННАЯ ЖАЛОБА</w:t>
      </w:r>
    </w:p>
    <w:p>
      <w:pPr>
        <w:pStyle w:val="Normal"/>
        <w:spacing w:lineRule="exact" w:line="240" w:before="0" w:after="0"/>
        <w:ind w:right="0" w:hanging="0"/>
        <w:jc w:val="center"/>
        <w:rPr>
          <w:rFonts w:ascii="Times New Roman" w:hAnsi="Times New Roman"/>
          <w:b/>
          <w:b/>
          <w:bCs/>
          <w:sz w:val="28"/>
          <w:szCs w:val="28"/>
        </w:rPr>
      </w:pPr>
      <w:r>
        <w:rPr>
          <w:rFonts w:ascii="Times New Roman" w:hAnsi="Times New Roman"/>
          <w:b/>
          <w:bCs/>
          <w:sz w:val="28"/>
          <w:szCs w:val="28"/>
        </w:rPr>
        <w:t xml:space="preserve">на решение Рязанского гарнизонного военного суда </w:t>
      </w:r>
    </w:p>
    <w:p>
      <w:pPr>
        <w:pStyle w:val="Normal"/>
        <w:spacing w:lineRule="exact" w:line="240" w:before="0" w:after="0"/>
        <w:ind w:right="0" w:hanging="0"/>
        <w:jc w:val="center"/>
        <w:rPr>
          <w:rFonts w:ascii="Times New Roman" w:hAnsi="Times New Roman"/>
          <w:sz w:val="28"/>
          <w:szCs w:val="28"/>
        </w:rPr>
      </w:pPr>
      <w:r>
        <w:rPr>
          <w:rFonts w:ascii="Times New Roman" w:hAnsi="Times New Roman"/>
          <w:b/>
          <w:bCs/>
          <w:sz w:val="28"/>
          <w:szCs w:val="28"/>
        </w:rPr>
        <w:t>от 22 июня 2017 года</w:t>
      </w:r>
    </w:p>
    <w:p>
      <w:pPr>
        <w:pStyle w:val="Normal"/>
        <w:spacing w:lineRule="auto" w:line="240" w:before="0" w:after="0"/>
        <w:ind w:right="0" w:hanging="0"/>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22 июня 2017 года решением Рязанского гарнизонного военного суда было удовлетворено исковое заявление начальника Центра социального обеспечения военного комиссариата Московской области о взыскании с меня пенсии за период с 17 марта 2016 года по 31 октября 2016 года в размере 153 тыс. 399 рублей 52 копеек в доход федерального бюджета. </w:t>
      </w:r>
    </w:p>
    <w:p>
      <w:pPr>
        <w:pStyle w:val="TimesNewRoman"/>
        <w:rPr/>
      </w:pPr>
      <w:r>
        <w:rPr/>
        <w:t>С вышеуказанным решением суда я не согласен и считаю, что при рассмотрении дела по существу были допущены следующие нарушения:</w:t>
      </w:r>
    </w:p>
    <w:p>
      <w:pPr>
        <w:pStyle w:val="TimesNewRoman"/>
        <w:rPr>
          <w:sz w:val="20"/>
          <w:szCs w:val="20"/>
        </w:rPr>
      </w:pPr>
      <w:r>
        <w:rPr>
          <w:sz w:val="20"/>
          <w:szCs w:val="20"/>
        </w:rPr>
      </w:r>
    </w:p>
    <w:p>
      <w:pPr>
        <w:pStyle w:val="TimesNewRoman"/>
        <w:rPr/>
      </w:pPr>
      <w:r>
        <w:rPr/>
        <w:t xml:space="preserve">1. Суд первой инстанции отказал в заявленном ходатайстве о привлечении соответчика и провел судебное разбирательство без предварительной подготовки, в том числе без учёта правовой позиции Пленума Верховного Суда РФ от 24.06.2008 N 11 (ред. от 09.02.2012) "О подготовке гражданских дел к судебному разбирательству". </w:t>
      </w:r>
    </w:p>
    <w:p>
      <w:pPr>
        <w:pStyle w:val="TimesNewRoman"/>
        <w:rPr>
          <w:sz w:val="20"/>
          <w:szCs w:val="20"/>
        </w:rPr>
      </w:pPr>
      <w:r>
        <w:rPr>
          <w:sz w:val="20"/>
          <w:szCs w:val="20"/>
        </w:rPr>
      </w:r>
    </w:p>
    <w:p>
      <w:pPr>
        <w:pStyle w:val="TimesNewRoman"/>
        <w:rPr/>
      </w:pPr>
      <w:r>
        <w:rPr/>
        <w:t xml:space="preserve">2. </w:t>
      </w:r>
      <w:r>
        <w:rPr>
          <w:rFonts w:eastAsia="Times New Roman"/>
          <w:lang w:eastAsia="ru-RU"/>
        </w:rPr>
        <w:t>Судом первой инстанции не учтены нормы специального законодательства, регулирующие порядок приобретения и прекращения статуса военнослужащего, основания назначения и приостановления выплаты пенсии, порядок исполнения судебного решения о восстановлении на военной службе,</w:t>
      </w:r>
      <w:r>
        <w:rPr/>
        <w:t xml:space="preserve"> в том числе без учёта правовой позиции Пленума Верховного Суда Российской Федерации № 8 от 29 мая 2014 года.</w:t>
      </w:r>
    </w:p>
    <w:p>
      <w:pPr>
        <w:pStyle w:val="TimesNewRoman"/>
        <w:rPr>
          <w:sz w:val="20"/>
          <w:szCs w:val="20"/>
        </w:rPr>
      </w:pPr>
      <w:r>
        <w:rPr>
          <w:sz w:val="20"/>
          <w:szCs w:val="20"/>
        </w:rPr>
      </w:r>
    </w:p>
    <w:p>
      <w:pPr>
        <w:pStyle w:val="TimesNewRoman"/>
        <w:rPr>
          <w:rFonts w:eastAsia="Times New Roman"/>
          <w:lang w:eastAsia="ru-RU"/>
        </w:rPr>
      </w:pPr>
      <w:r>
        <w:rPr/>
        <w:t>3. Решение суда противоречит Конституционному праву гражданина на социальное обеспечение по возрасту, в том числе без учёта правовой позиции Конституционного суда РФ указанного в Постановлении от 16 декабря 1997 года  № 20-П.</w:t>
      </w:r>
    </w:p>
    <w:p>
      <w:pPr>
        <w:pStyle w:val="TimesNewRoman"/>
        <w:rPr>
          <w:color w:val="FF0000"/>
          <w:sz w:val="20"/>
          <w:szCs w:val="20"/>
        </w:rPr>
      </w:pPr>
      <w:r>
        <w:rPr>
          <w:color w:val="FF0000"/>
          <w:sz w:val="20"/>
          <w:szCs w:val="20"/>
        </w:rPr>
      </w:r>
    </w:p>
    <w:p>
      <w:pPr>
        <w:pStyle w:val="Style21"/>
        <w:rPr>
          <w:sz w:val="28"/>
          <w:szCs w:val="28"/>
        </w:rPr>
      </w:pPr>
      <w:r>
        <w:rPr>
          <w:sz w:val="28"/>
          <w:szCs w:val="28"/>
        </w:rPr>
        <w:t>Указанные выше нарушения заключаются в следующем:</w:t>
      </w:r>
    </w:p>
    <w:p>
      <w:pPr>
        <w:pStyle w:val="Normal"/>
        <w:spacing w:lineRule="auto" w:line="240" w:before="0" w:after="0"/>
        <w:ind w:firstLine="708"/>
        <w:jc w:val="both"/>
        <w:rPr>
          <w:rFonts w:ascii="Times New Roman" w:hAnsi="Times New Roman" w:eastAsia="Times New Roman"/>
          <w:sz w:val="28"/>
          <w:szCs w:val="28"/>
          <w:lang w:eastAsia="ru-RU"/>
        </w:rPr>
      </w:pPr>
      <w:r>
        <w:rPr>
          <w:rFonts w:ascii="Times New Roman" w:hAnsi="Times New Roman"/>
          <w:sz w:val="28"/>
          <w:szCs w:val="28"/>
        </w:rPr>
        <w:t>В своих возражениях от 21 июня 2017 года и пояснениях мною указывалось, что</w:t>
      </w:r>
      <w:r>
        <w:rPr>
          <w:rFonts w:eastAsia="Times New Roman" w:ascii="Times New Roman" w:hAnsi="Times New Roman"/>
          <w:sz w:val="28"/>
          <w:szCs w:val="28"/>
          <w:lang w:eastAsia="ru-RU"/>
        </w:rPr>
        <w:t xml:space="preserve"> пенсия по выслуге лет была назначена мне на законном основании, за период с момента увольнения с военной службы до момента фактического восстановления на воинской службе, которая была для меня единственным источником средств существования. </w:t>
      </w:r>
    </w:p>
    <w:p>
      <w:pPr>
        <w:pStyle w:val="Normal"/>
        <w:spacing w:lineRule="auto" w:line="240" w:before="0" w:after="0"/>
        <w:ind w:firstLine="708"/>
        <w:jc w:val="both"/>
        <w:rPr>
          <w:rFonts w:ascii="Times New Roman" w:hAnsi="Times New Roman" w:eastAsia="Times New Roman"/>
          <w:color w:val="000000" w:themeColor="text1"/>
          <w:sz w:val="28"/>
          <w:szCs w:val="28"/>
        </w:rPr>
      </w:pPr>
      <w:r>
        <w:rPr>
          <w:rFonts w:eastAsia="Times New Roman" w:ascii="Times New Roman" w:hAnsi="Times New Roman"/>
          <w:color w:val="000000" w:themeColor="text1"/>
          <w:sz w:val="28"/>
          <w:szCs w:val="28"/>
          <w:lang w:eastAsia="ru-RU"/>
        </w:rPr>
        <w:t xml:space="preserve">Истцом в ходе судебного заседания </w:t>
      </w:r>
      <w:r>
        <w:rPr>
          <w:rStyle w:val="TimesNewRoman1"/>
          <w:rFonts w:eastAsia="Calibri"/>
        </w:rPr>
        <w:t xml:space="preserve">в нарушение требований ст. 56 ГПК РФ </w:t>
      </w:r>
      <w:r>
        <w:rPr>
          <w:rFonts w:eastAsia="Times New Roman" w:ascii="Times New Roman" w:hAnsi="Times New Roman"/>
          <w:color w:val="000000" w:themeColor="text1"/>
          <w:sz w:val="28"/>
          <w:szCs w:val="28"/>
          <w:lang w:eastAsia="ru-RU"/>
        </w:rPr>
        <w:t xml:space="preserve">не было представлено доказательств </w:t>
      </w:r>
      <w:r>
        <w:rPr>
          <w:rFonts w:eastAsia="Times New Roman" w:ascii="Times New Roman" w:hAnsi="Times New Roman"/>
          <w:color w:val="000000" w:themeColor="text1"/>
          <w:sz w:val="28"/>
          <w:szCs w:val="28"/>
        </w:rPr>
        <w:t>того, что на момент обращения мной за назначением пенсии и на момент ее назначения, я сокрыл какие-либо обстоятельства, влияющие на вопрос назначения пенсии за выслугу лет, ввел военный комиссариат в заблуждение, обманул, то есть совершил недобросовестные действия.</w:t>
      </w:r>
    </w:p>
    <w:p>
      <w:pPr>
        <w:pStyle w:val="Normal"/>
        <w:spacing w:lineRule="auto" w:line="240" w:before="0" w:after="0"/>
        <w:ind w:firstLine="708"/>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 xml:space="preserve">На военной службе я был восстановлен после отмены приказа о моем незаконном увольнении с военной службы и издания приказа о восстановлении в списке личного состава восковой части. </w:t>
      </w:r>
    </w:p>
    <w:p>
      <w:pPr>
        <w:pStyle w:val="Normal"/>
        <w:spacing w:lineRule="auto" w:line="240" w:before="0" w:after="0"/>
        <w:ind w:firstLine="708"/>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 xml:space="preserve">Правовых оснований для приостановления выплаты пенсии до моего восстановления на военной службе и в списках личного состава части не имелось.  </w:t>
      </w:r>
    </w:p>
    <w:p>
      <w:pPr>
        <w:pStyle w:val="Normal"/>
        <w:spacing w:lineRule="auto" w:line="240" w:before="0" w:after="0"/>
        <w:ind w:firstLine="708"/>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Однако указанные доводы и пояснения учтены судом не были.</w:t>
      </w:r>
    </w:p>
    <w:p>
      <w:pPr>
        <w:pStyle w:val="Normal"/>
        <w:spacing w:lineRule="auto" w:line="240" w:before="0" w:after="0"/>
        <w:ind w:firstLine="708"/>
        <w:jc w:val="both"/>
        <w:rPr>
          <w:rFonts w:ascii="Times New Roman" w:hAnsi="Times New Roman" w:eastAsia="Times New Roman"/>
          <w:sz w:val="20"/>
          <w:szCs w:val="20"/>
          <w:lang w:eastAsia="ru-RU"/>
        </w:rPr>
      </w:pPr>
      <w:r>
        <w:rPr>
          <w:rFonts w:eastAsia="Times New Roman" w:ascii="Times New Roman" w:hAnsi="Times New Roman"/>
          <w:sz w:val="20"/>
          <w:szCs w:val="20"/>
          <w:lang w:eastAsia="ru-RU"/>
        </w:rPr>
      </w:r>
    </w:p>
    <w:p>
      <w:pPr>
        <w:pStyle w:val="Normal"/>
        <w:spacing w:lineRule="auto" w:line="240" w:before="0" w:after="0"/>
        <w:ind w:firstLine="709"/>
        <w:jc w:val="both"/>
        <w:rPr/>
      </w:pPr>
      <w:r>
        <w:rPr>
          <w:rFonts w:eastAsia="Times New Roman" w:ascii="Times New Roman" w:hAnsi="Times New Roman"/>
          <w:sz w:val="28"/>
          <w:szCs w:val="28"/>
          <w:lang w:eastAsia="ru-RU"/>
        </w:rPr>
        <w:t xml:space="preserve">При разрешении дела суд первой инстанции руководствовался положениями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а также статьями </w:t>
      </w:r>
      <w:hyperlink r:id="rId2">
        <w:r>
          <w:rPr>
            <w:rStyle w:val="Style12"/>
            <w:rFonts w:eastAsia="Times New Roman" w:ascii="Times New Roman" w:hAnsi="Times New Roman"/>
            <w:color w:val="000000"/>
            <w:sz w:val="28"/>
            <w:szCs w:val="28"/>
            <w:u w:val="single"/>
            <w:lang w:eastAsia="ru-RU"/>
          </w:rPr>
          <w:t>1102</w:t>
        </w:r>
      </w:hyperlink>
      <w:r>
        <w:rPr>
          <w:rFonts w:eastAsia="Times New Roman" w:ascii="Times New Roman" w:hAnsi="Times New Roman"/>
          <w:color w:val="000000"/>
          <w:sz w:val="28"/>
          <w:szCs w:val="28"/>
          <w:lang w:eastAsia="ru-RU"/>
        </w:rPr>
        <w:t xml:space="preserve">, </w:t>
      </w:r>
      <w:hyperlink r:id="rId3">
        <w:r>
          <w:rPr>
            <w:rStyle w:val="Style12"/>
            <w:rFonts w:eastAsia="Times New Roman" w:ascii="Times New Roman" w:hAnsi="Times New Roman"/>
            <w:color w:val="000000"/>
            <w:sz w:val="28"/>
            <w:szCs w:val="28"/>
            <w:u w:val="single"/>
            <w:lang w:eastAsia="ru-RU"/>
          </w:rPr>
          <w:t>1109</w:t>
        </w:r>
      </w:hyperlink>
      <w:r>
        <w:rPr>
          <w:rFonts w:eastAsia="Times New Roman" w:ascii="Times New Roman" w:hAnsi="Times New Roman"/>
          <w:sz w:val="28"/>
          <w:szCs w:val="28"/>
          <w:lang w:eastAsia="ru-RU"/>
        </w:rPr>
        <w:t xml:space="preserve"> Гражданского кодекса РФ, и исходил из того, что на основании вступившего в силу решения военного суда от 14 апреля 2016 года, признавшего незаконным увольнение меня с военной службы, мои права были восстановлены. </w:t>
      </w:r>
    </w:p>
    <w:p>
      <w:pPr>
        <w:pStyle w:val="Normal"/>
        <w:spacing w:lineRule="auto" w:line="240" w:before="0" w:after="0"/>
        <w:ind w:firstLine="709"/>
        <w:jc w:val="both"/>
        <w:rPr>
          <w:rFonts w:ascii="Times New Roman" w:hAnsi="Times New Roman"/>
          <w:sz w:val="28"/>
          <w:szCs w:val="28"/>
        </w:rPr>
      </w:pPr>
      <w:r>
        <w:rPr>
          <w:rFonts w:eastAsia="Times New Roman" w:ascii="Times New Roman" w:hAnsi="Times New Roman"/>
          <w:sz w:val="28"/>
          <w:szCs w:val="28"/>
          <w:lang w:eastAsia="ru-RU"/>
        </w:rPr>
        <w:t xml:space="preserve">Таким образом, по мнению суда </w:t>
      </w:r>
      <w:r>
        <w:rPr>
          <w:rFonts w:ascii="Times New Roman" w:hAnsi="Times New Roman"/>
          <w:sz w:val="28"/>
          <w:szCs w:val="28"/>
        </w:rPr>
        <w:t>(абз. 6 л. 3 решения),</w:t>
      </w:r>
      <w:r>
        <w:rPr>
          <w:rFonts w:eastAsia="Times New Roman" w:ascii="Times New Roman" w:hAnsi="Times New Roman"/>
          <w:sz w:val="28"/>
          <w:szCs w:val="28"/>
          <w:lang w:eastAsia="ru-RU"/>
        </w:rPr>
        <w:t xml:space="preserve"> образовалась </w:t>
      </w:r>
      <w:r>
        <w:rPr>
          <w:rFonts w:ascii="Times New Roman" w:hAnsi="Times New Roman"/>
          <w:sz w:val="28"/>
          <w:szCs w:val="28"/>
        </w:rPr>
        <w:t xml:space="preserve">переплата пенсии за период с 17 марта 2016 года по 31 октября 2016 года в размере 144695 рублей 80 копеек, и переплата доплаты на иждивенцев за период за период с 17 марта 2016 года по 31 августа 2016 года в размере 8703 рубля 72 копейки. Странный вывод?! </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О какой переплате идет речь, если в ходе судебного заседания было установлено, что решение суда от 14 апреля 2016 года, было фактически исполнено только 04 октября 2017 года.</w:t>
      </w:r>
    </w:p>
    <w:p>
      <w:pPr>
        <w:pStyle w:val="NoSpacing"/>
        <w:ind w:firstLine="709"/>
        <w:jc w:val="both"/>
        <w:rPr>
          <w:rFonts w:ascii="Times New Roman" w:hAnsi="Times New Roman"/>
          <w:color w:val="000000"/>
          <w:sz w:val="28"/>
          <w:szCs w:val="28"/>
        </w:rPr>
      </w:pPr>
      <w:r>
        <w:rPr>
          <w:rFonts w:ascii="Times New Roman" w:hAnsi="Times New Roman"/>
          <w:color w:val="000000"/>
          <w:sz w:val="28"/>
          <w:szCs w:val="28"/>
        </w:rPr>
        <w:t>04 октября 2016 года я был восстановлен (включен) в списки личного состава восковой части.</w:t>
      </w:r>
    </w:p>
    <w:p>
      <w:pPr>
        <w:pStyle w:val="NoSpacing"/>
        <w:ind w:firstLine="709"/>
        <w:jc w:val="both"/>
        <w:rPr>
          <w:rFonts w:ascii="Times New Roman" w:hAnsi="Times New Roman"/>
          <w:color w:val="000000"/>
          <w:sz w:val="28"/>
          <w:szCs w:val="28"/>
        </w:rPr>
      </w:pPr>
      <w:r>
        <w:rPr>
          <w:rFonts w:ascii="Times New Roman" w:hAnsi="Times New Roman"/>
          <w:color w:val="000000"/>
          <w:sz w:val="28"/>
          <w:szCs w:val="28"/>
        </w:rPr>
        <w:t xml:space="preserve">Таким образом, до 04 октября 2016 года пенсия являлась моим материальным содержанием как пенсионера. </w:t>
      </w:r>
    </w:p>
    <w:p>
      <w:pPr>
        <w:pStyle w:val="Normal"/>
        <w:spacing w:lineRule="auto" w:line="240" w:before="0" w:after="0"/>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708"/>
        <w:jc w:val="both"/>
        <w:rPr/>
      </w:pPr>
      <w:r>
        <w:rPr>
          <w:rFonts w:ascii="Times New Roman" w:hAnsi="Times New Roman"/>
          <w:sz w:val="28"/>
          <w:szCs w:val="28"/>
        </w:rPr>
        <w:t xml:space="preserve">Кроме того, в обжалуемом решении (абз. 7,8 л. 3 решения) суд первой инстанции подробно указал и акцентировал свое внимание, на то что «В соответствии с частью 1 статьи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 В соответствии с пунктом 3   статьи </w:t>
      </w:r>
      <w:hyperlink r:id="rId4">
        <w:r>
          <w:rPr>
            <w:rStyle w:val="Style12"/>
            <w:rFonts w:ascii="Times New Roman" w:hAnsi="Times New Roman"/>
            <w:color w:val="00000A"/>
            <w:sz w:val="28"/>
            <w:szCs w:val="28"/>
          </w:rPr>
          <w:t>1109</w:t>
        </w:r>
      </w:hyperlink>
      <w:r>
        <w:rPr>
          <w:rFonts w:ascii="Times New Roman" w:hAnsi="Times New Roman"/>
          <w:sz w:val="28"/>
          <w:szCs w:val="28"/>
          <w:u w:val="single"/>
        </w:rPr>
        <w:t xml:space="preserve"> </w:t>
      </w:r>
      <w:r>
        <w:rPr>
          <w:rFonts w:ascii="Times New Roman" w:hAnsi="Times New Roman"/>
          <w:sz w:val="28"/>
          <w:szCs w:val="28"/>
        </w:rPr>
        <w:t xml:space="preserve">Гражданского кодекса Российской Федерации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 </w:t>
      </w:r>
    </w:p>
    <w:p>
      <w:pPr>
        <w:pStyle w:val="Normal"/>
        <w:spacing w:lineRule="auto" w:line="240" w:before="0" w:after="0"/>
        <w:ind w:firstLine="708"/>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708"/>
        <w:jc w:val="both"/>
        <w:rPr>
          <w:rFonts w:ascii="Times New Roman" w:hAnsi="Times New Roman"/>
          <w:sz w:val="28"/>
          <w:szCs w:val="28"/>
        </w:rPr>
      </w:pPr>
      <w:r>
        <w:rPr>
          <w:rFonts w:ascii="Times New Roman" w:hAnsi="Times New Roman"/>
          <w:sz w:val="28"/>
          <w:szCs w:val="28"/>
        </w:rPr>
        <w:t>Отсюда непонятно, в связи с чем же сделан вывод суда (абз. 2 л. 4 решения) о том, что «Таким образом, законодательство не предусматривает одновременного получения пенсии за выслугу лет и довольствия в связи с прохождением военной службы. Следовательно, выплата пенсии, начисленные ответчику за 8 месяцев, являются ущербом федерального бюджета. Одновременное получение ответчиком денежного довольствия и пенсии является незаконным».</w:t>
      </w:r>
    </w:p>
    <w:p>
      <w:pPr>
        <w:pStyle w:val="Normal"/>
        <w:spacing w:lineRule="auto" w:line="240" w:before="0" w:after="0"/>
        <w:ind w:firstLine="708"/>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709"/>
        <w:jc w:val="both"/>
        <w:rPr>
          <w:rStyle w:val="TimesNewRoman1"/>
          <w:rFonts w:eastAsia="Calibri"/>
          <w:b/>
          <w:b/>
        </w:rPr>
      </w:pPr>
      <w:r>
        <w:rPr>
          <w:rStyle w:val="TimesNewRoman1"/>
          <w:rFonts w:eastAsia="Calibri"/>
          <w:b/>
        </w:rPr>
        <w:t xml:space="preserve">Данный вывод суда не основан на нормах закона и ошибочен, поскольку законодательный запрет на одновременное получение пенсии за выслугу лет и денежное довольствие касается случаев повторного поступления на военную службу или иную государственную службу лиц, ранее законно уволенных с этой службы. </w:t>
      </w:r>
    </w:p>
    <w:p>
      <w:pPr>
        <w:pStyle w:val="Normal"/>
        <w:spacing w:lineRule="auto" w:line="240" w:before="0" w:after="0"/>
        <w:ind w:firstLine="709"/>
        <w:jc w:val="both"/>
        <w:rPr>
          <w:rFonts w:ascii="Times New Roman" w:hAnsi="Times New Roman"/>
          <w:sz w:val="28"/>
          <w:szCs w:val="28"/>
        </w:rPr>
      </w:pPr>
      <w:r>
        <w:rPr>
          <w:rStyle w:val="TimesNewRoman1"/>
          <w:rFonts w:eastAsia="Calibri"/>
        </w:rPr>
        <w:t>Я же денежные средства не получал одновременно, а за один и тот же период времени и только в результате восстановления моих прав, нарушенных необоснованным увольнением и несвоевременным восстановлением на военной службе.</w:t>
      </w:r>
    </w:p>
    <w:p>
      <w:pPr>
        <w:pStyle w:val="Normal"/>
        <w:spacing w:lineRule="auto" w:line="240" w:before="0" w:after="0"/>
        <w:ind w:firstLine="709"/>
        <w:jc w:val="both"/>
        <w:rPr/>
      </w:pPr>
      <w:r>
        <w:rPr>
          <w:rFonts w:eastAsia="Times New Roman" w:ascii="Times New Roman" w:hAnsi="Times New Roman"/>
          <w:sz w:val="28"/>
          <w:szCs w:val="28"/>
        </w:rPr>
        <w:t xml:space="preserve">Военная служба была прервана в результате моего незаконного увольнения, и в этот период я на законных основаниях получал пенсию по выслуге лет. Последующее моё восстановление в силу п. 2 ст. </w:t>
      </w:r>
      <w:r>
        <w:rPr>
          <w:rStyle w:val="Style12"/>
          <w:rFonts w:eastAsia="Times New Roman" w:ascii="Times New Roman" w:hAnsi="Times New Roman"/>
          <w:sz w:val="28"/>
          <w:szCs w:val="28"/>
          <w:u w:val="single"/>
        </w:rPr>
        <w:t>23</w:t>
      </w:r>
      <w:r>
        <w:rPr>
          <w:rFonts w:eastAsia="Times New Roman" w:ascii="Times New Roman" w:hAnsi="Times New Roman"/>
          <w:sz w:val="28"/>
          <w:szCs w:val="28"/>
        </w:rPr>
        <w:t xml:space="preserve"> Закона «О статусе военнослужащих» является способом восстановления моих прав на получение денежного довольствия.</w:t>
      </w:r>
    </w:p>
    <w:p>
      <w:pPr>
        <w:pStyle w:val="Normal"/>
        <w:spacing w:lineRule="auto" w:line="240" w:before="0" w:after="0"/>
        <w:ind w:firstLine="709"/>
        <w:jc w:val="both"/>
        <w:rPr>
          <w:rFonts w:ascii="Times New Roman" w:hAnsi="Times New Roman" w:eastAsia="Times New Roman"/>
          <w:sz w:val="20"/>
          <w:szCs w:val="20"/>
        </w:rPr>
      </w:pPr>
      <w:r>
        <w:rPr>
          <w:rFonts w:eastAsia="Times New Roman" w:ascii="Times New Roman" w:hAnsi="Times New Roman"/>
          <w:sz w:val="20"/>
          <w:szCs w:val="20"/>
        </w:rPr>
      </w:r>
    </w:p>
    <w:p>
      <w:pPr>
        <w:pStyle w:val="Normal"/>
        <w:spacing w:lineRule="auto" w:line="240" w:before="0" w:after="0"/>
        <w:ind w:firstLine="708"/>
        <w:jc w:val="both"/>
        <w:rPr>
          <w:rFonts w:ascii="Times New Roman" w:hAnsi="Times New Roman"/>
          <w:color w:val="00000A"/>
          <w:sz w:val="28"/>
          <w:szCs w:val="28"/>
        </w:rPr>
      </w:pPr>
      <w:r>
        <w:rPr>
          <w:rFonts w:ascii="Times New Roman" w:hAnsi="Times New Roman"/>
          <w:sz w:val="28"/>
          <w:szCs w:val="28"/>
        </w:rPr>
        <w:t xml:space="preserve">Помимо прочего, судом не дана должная оценка тому, что </w:t>
      </w:r>
      <w:r>
        <w:rPr>
          <w:rFonts w:ascii="Times New Roman" w:hAnsi="Times New Roman"/>
          <w:color w:val="00000A"/>
          <w:sz w:val="28"/>
          <w:szCs w:val="28"/>
        </w:rPr>
        <w:t xml:space="preserve">в соответствии с разъяснениями Пленума Верховного Суда Российской Федерации № 8 от 29 мая 2014 года, изложенными в пункте 50 Постановления «О некоторых вопросах применения судами законодательства о воинской обязанности, военной службы и статусе военнослужащих» в случае признания судом увольнения с военной службы необоснованным военнослужащий в соответствии с пунктом 2 статьи 23 Федерального закона "О статусе военнослужащих" подлежит восстановлению на военной службе в прежней (или с его согласия - равной или не ниже) должности с возмещением всех причиненных убытков. </w:t>
      </w:r>
    </w:p>
    <w:p>
      <w:pPr>
        <w:pStyle w:val="Normal"/>
        <w:spacing w:lineRule="auto" w:line="240" w:before="0" w:after="0"/>
        <w:ind w:firstLine="708"/>
        <w:jc w:val="both"/>
        <w:rPr>
          <w:rFonts w:ascii="Times New Roman" w:hAnsi="Times New Roman"/>
          <w:color w:val="00000A"/>
          <w:sz w:val="28"/>
          <w:szCs w:val="28"/>
        </w:rPr>
      </w:pPr>
      <w:r>
        <w:rPr>
          <w:rFonts w:ascii="Times New Roman" w:hAnsi="Times New Roman"/>
          <w:color w:val="00000A"/>
          <w:sz w:val="28"/>
          <w:szCs w:val="28"/>
        </w:rPr>
        <w:t>Восстановление на военной службе производится путем отмены приказа об увольнении военнослужащего с военной службы. Отмена приказа об увольнении военнослужащего с военной службы производится воинским должностным лицом, издавшим приказ, или его прямым начальником.</w:t>
      </w:r>
    </w:p>
    <w:p>
      <w:pPr>
        <w:pStyle w:val="Normal"/>
        <w:spacing w:lineRule="auto" w:line="240" w:before="0" w:after="0"/>
        <w:ind w:firstLine="708"/>
        <w:jc w:val="both"/>
        <w:rPr>
          <w:rFonts w:ascii="Times New Roman" w:hAnsi="Times New Roman"/>
        </w:rPr>
      </w:pPr>
      <w:r>
        <w:rPr>
          <w:rFonts w:ascii="Times New Roman" w:hAnsi="Times New Roman"/>
        </w:rPr>
      </w:r>
    </w:p>
    <w:p>
      <w:pPr>
        <w:pStyle w:val="Normal"/>
        <w:spacing w:lineRule="auto" w:line="240" w:before="0" w:after="0"/>
        <w:ind w:firstLine="708"/>
        <w:jc w:val="both"/>
        <w:rPr>
          <w:rStyle w:val="TimesNewRoman1"/>
          <w:rFonts w:eastAsia="Calibri"/>
        </w:rPr>
      </w:pPr>
      <w:r>
        <w:rPr>
          <w:rStyle w:val="TimesNewRoman1"/>
          <w:rFonts w:eastAsia="Calibri"/>
        </w:rPr>
        <w:t xml:space="preserve">Доводы суда </w:t>
      </w:r>
      <w:r>
        <w:rPr>
          <w:rFonts w:ascii="Times New Roman" w:hAnsi="Times New Roman"/>
          <w:sz w:val="28"/>
          <w:szCs w:val="28"/>
        </w:rPr>
        <w:t xml:space="preserve">(абз. 3 л.  4 решения) </w:t>
      </w:r>
      <w:r>
        <w:rPr>
          <w:rStyle w:val="TimesNewRoman1"/>
          <w:rFonts w:eastAsia="Calibri"/>
        </w:rPr>
        <w:t xml:space="preserve">со ссылкой на то, </w:t>
      </w:r>
      <w:r>
        <w:rPr>
          <w:rFonts w:ascii="Times New Roman" w:hAnsi="Times New Roman"/>
          <w:sz w:val="28"/>
          <w:szCs w:val="28"/>
        </w:rPr>
        <w:t xml:space="preserve">« что касается ст.1109 ГК РФ предусматривающей, что пенсия, предоставленная гражданину в качестве средств к существованию, при отсутствии недобросовестности с его стороны и счетной ошибки возврату не подлежит, то здесь законодатель руководствуется невозвратностью сумм, полученных добросовестно и в качестве единственного средства к существованию. Поскольку с момента восстановления Федоренко С.В. были произведены все положенные выплаты по денежному довольствию за предыдущие 8 месяцев, то полученную выплату нельзя рассматривать по отношению к нему как единственное средство к существованию», </w:t>
      </w:r>
      <w:r>
        <w:rPr>
          <w:rStyle w:val="TimesNewRoman1"/>
          <w:rFonts w:eastAsia="Calibri"/>
        </w:rPr>
        <w:t>не состоятельны</w:t>
      </w:r>
      <w:r>
        <w:rPr>
          <w:rFonts w:ascii="Times New Roman" w:hAnsi="Times New Roman"/>
          <w:color w:val="0070C0"/>
          <w:sz w:val="28"/>
          <w:szCs w:val="28"/>
        </w:rPr>
        <w:t xml:space="preserve"> </w:t>
      </w:r>
      <w:r>
        <w:rPr>
          <w:rStyle w:val="TimesNewRoman1"/>
          <w:rFonts w:eastAsia="Calibri"/>
        </w:rPr>
        <w:t xml:space="preserve">ввиду того, что федеральный законодатель в статье 1109 ГК РФ четко указал, какие выплаты не подлежат возврату в качестве неосновательного обогащения. </w:t>
      </w:r>
    </w:p>
    <w:p>
      <w:pPr>
        <w:pStyle w:val="Normal"/>
        <w:spacing w:lineRule="auto" w:line="240" w:before="0" w:after="0"/>
        <w:ind w:firstLine="708"/>
        <w:jc w:val="both"/>
        <w:rPr>
          <w:rStyle w:val="TimesNewRoman1"/>
          <w:rFonts w:eastAsia="Calibri"/>
          <w:b/>
          <w:b/>
        </w:rPr>
      </w:pPr>
      <w:r>
        <w:rPr>
          <w:rStyle w:val="TimesNewRoman1"/>
          <w:rFonts w:eastAsia="Calibri"/>
        </w:rPr>
        <w:t xml:space="preserve">О чём суд указывает в своем решении (абз. 8 л. 3 решения), подробно цитируя положения статьи 1109 ГК РФ. </w:t>
      </w:r>
    </w:p>
    <w:p>
      <w:pPr>
        <w:pStyle w:val="Normal"/>
        <w:spacing w:lineRule="auto" w:line="240" w:before="0" w:after="0"/>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708"/>
        <w:jc w:val="both"/>
        <w:rPr/>
      </w:pPr>
      <w:r>
        <w:rPr>
          <w:rFonts w:ascii="Times New Roman" w:hAnsi="Times New Roman"/>
          <w:sz w:val="28"/>
          <w:szCs w:val="28"/>
        </w:rPr>
        <w:t xml:space="preserve">Не менее странный вывод суда (абз. 3 л. 4 решения) о том, что  «Суд считает, со стороны Федоренко С.В. </w:t>
      </w:r>
      <w:r>
        <w:rPr>
          <w:rFonts w:ascii="Times New Roman" w:hAnsi="Times New Roman"/>
          <w:sz w:val="28"/>
          <w:szCs w:val="28"/>
          <w:u w:val="single"/>
        </w:rPr>
        <w:t>отсутствуют какие-либо умышленные действия, направленные на неправильное завладение денежных средств</w:t>
      </w:r>
      <w:r>
        <w:rPr>
          <w:rFonts w:ascii="Times New Roman" w:hAnsi="Times New Roman"/>
          <w:sz w:val="28"/>
          <w:szCs w:val="28"/>
        </w:rPr>
        <w:t>, однако полученные ответчиком суммы пенсии подлежат возвращению в соответствии с положениями ст. 1102 ГК РФ, как неосновательное обогащение»</w:t>
      </w:r>
      <w:r>
        <w:rPr>
          <w:rFonts w:ascii="Times New Roman" w:hAnsi="Times New Roman"/>
          <w:color w:val="FF0000"/>
          <w:sz w:val="28"/>
          <w:szCs w:val="28"/>
        </w:rPr>
        <w:t xml:space="preserve"> </w:t>
      </w:r>
      <w:r>
        <w:rPr>
          <w:rStyle w:val="TimesNewRoman1"/>
          <w:rFonts w:eastAsia="Calibri"/>
        </w:rPr>
        <w:t xml:space="preserve">не основан на нормах закона и ошибочен, поскольку в статье 1102 ГК РФ четко и недвусмысленно указано, в каких случаях лицо </w:t>
      </w:r>
      <w:r>
        <w:rPr>
          <w:rFonts w:ascii="Times New Roman" w:hAnsi="Times New Roman"/>
          <w:sz w:val="28"/>
          <w:szCs w:val="28"/>
        </w:rPr>
        <w:t>обязано возвратить неосновательно приобретенное или сбереженное имущество за исключением случаев, предусмотренных ст</w:t>
      </w:r>
      <w:r>
        <w:rPr>
          <w:rFonts w:ascii="Times New Roman" w:hAnsi="Times New Roman"/>
          <w:color w:val="000000"/>
          <w:sz w:val="28"/>
          <w:szCs w:val="28"/>
        </w:rPr>
        <w:t>. 1109</w:t>
      </w:r>
      <w:r>
        <w:rPr>
          <w:rFonts w:ascii="Times New Roman" w:hAnsi="Times New Roman"/>
          <w:sz w:val="28"/>
          <w:szCs w:val="28"/>
        </w:rPr>
        <w:t xml:space="preserve"> Гражданского кодекса РФ.</w:t>
      </w:r>
    </w:p>
    <w:p>
      <w:pPr>
        <w:pStyle w:val="Normal"/>
        <w:spacing w:lineRule="auto" w:line="240" w:before="0" w:after="0"/>
        <w:ind w:firstLine="708"/>
        <w:jc w:val="both"/>
        <w:rPr>
          <w:rFonts w:ascii="Times New Roman" w:hAnsi="Times New Roman"/>
          <w:sz w:val="20"/>
          <w:szCs w:val="20"/>
        </w:rPr>
      </w:pPr>
      <w:r>
        <w:rPr>
          <w:rFonts w:ascii="Times New Roman" w:hAnsi="Times New Roman"/>
          <w:sz w:val="20"/>
          <w:szCs w:val="20"/>
        </w:rPr>
      </w:r>
    </w:p>
    <w:p>
      <w:pPr>
        <w:pStyle w:val="NormalWeb"/>
        <w:spacing w:before="0" w:after="0"/>
        <w:ind w:firstLine="720"/>
        <w:jc w:val="both"/>
        <w:rPr/>
      </w:pPr>
      <w:r>
        <w:rPr>
          <w:i/>
          <w:sz w:val="28"/>
          <w:szCs w:val="28"/>
        </w:rPr>
        <w:t xml:space="preserve">Согласно п. 3 </w:t>
      </w:r>
      <w:hyperlink r:id="rId5">
        <w:r>
          <w:rPr>
            <w:rStyle w:val="Style12"/>
            <w:i/>
            <w:color w:val="00000A"/>
            <w:sz w:val="28"/>
            <w:szCs w:val="28"/>
          </w:rPr>
          <w:t>ст. 1109 ГК РФ</w:t>
        </w:r>
      </w:hyperlink>
      <w:r>
        <w:rPr>
          <w:i/>
          <w:sz w:val="28"/>
          <w:szCs w:val="28"/>
        </w:rPr>
        <w:t xml:space="preserve"> не подлежат возврату в качестве неосновательного обогащения заработная плата и приравненные к ней платежи, </w:t>
      </w:r>
      <w:r>
        <w:rPr>
          <w:i/>
          <w:sz w:val="28"/>
          <w:szCs w:val="28"/>
          <w:u w:val="single"/>
        </w:rPr>
        <w:t>пенсии,</w:t>
      </w:r>
      <w:r>
        <w:rPr>
          <w:i/>
          <w:sz w:val="28"/>
          <w:szCs w:val="28"/>
        </w:rPr>
        <w:t xml:space="preserve"> пособия, стипендии, возмещение вреда, причинённое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счётной ошибки. </w:t>
      </w:r>
    </w:p>
    <w:p>
      <w:pPr>
        <w:pStyle w:val="NormalWeb"/>
        <w:spacing w:before="0" w:after="0"/>
        <w:ind w:firstLine="720"/>
        <w:jc w:val="both"/>
        <w:rPr>
          <w:i/>
          <w:i/>
          <w:sz w:val="20"/>
          <w:szCs w:val="20"/>
        </w:rPr>
      </w:pPr>
      <w:r>
        <w:rPr>
          <w:i/>
          <w:sz w:val="20"/>
          <w:szCs w:val="20"/>
        </w:rPr>
      </w:r>
    </w:p>
    <w:p>
      <w:pPr>
        <w:pStyle w:val="Normal"/>
        <w:spacing w:lineRule="auto" w:line="240" w:before="0" w:after="0"/>
        <w:ind w:firstLine="708"/>
        <w:jc w:val="both"/>
        <w:rPr/>
      </w:pPr>
      <w:r>
        <w:rPr>
          <w:rFonts w:ascii="Times New Roman" w:hAnsi="Times New Roman"/>
          <w:b/>
          <w:sz w:val="28"/>
          <w:szCs w:val="28"/>
        </w:rPr>
        <w:t>В суде бесспорных доказательств недобросовестных действий с моей стороны, связанных с получением пенсии в спорный период, представлено не было, факт неосновательного обогащения не установлен и не доказан,  в связи с чем, правовые основания для удовлетворения исковых требований отсутствовали.</w:t>
      </w:r>
    </w:p>
    <w:p>
      <w:pPr>
        <w:pStyle w:val="Normal"/>
        <w:spacing w:lineRule="auto" w:line="240" w:before="0" w:after="0"/>
        <w:ind w:firstLine="708"/>
        <w:jc w:val="both"/>
        <w:rPr>
          <w:rFonts w:ascii="Times New Roman" w:hAnsi="Times New Roman"/>
          <w:b/>
          <w:b/>
        </w:rPr>
      </w:pPr>
      <w:r>
        <w:rPr>
          <w:rFonts w:ascii="Times New Roman" w:hAnsi="Times New Roman"/>
          <w:b/>
        </w:rPr>
      </w:r>
    </w:p>
    <w:p>
      <w:pPr>
        <w:pStyle w:val="Normal"/>
        <w:spacing w:lineRule="auto" w:line="240" w:before="0" w:after="0"/>
        <w:ind w:firstLine="708"/>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Таким образом, допущенные при разрешении настоящего дела нарушения норм материального и процессуального права являются существенными, повлияли на исход дела и повлекли его неправильное разрешение.</w:t>
      </w:r>
    </w:p>
    <w:p>
      <w:pPr>
        <w:pStyle w:val="Normal"/>
        <w:spacing w:lineRule="auto" w:line="240" w:before="0" w:after="0"/>
        <w:ind w:firstLine="708"/>
        <w:jc w:val="both"/>
        <w:rPr>
          <w:rFonts w:ascii="Times New Roman" w:hAnsi="Times New Roman"/>
          <w:sz w:val="20"/>
          <w:szCs w:val="20"/>
        </w:rPr>
      </w:pPr>
      <w:r>
        <w:rPr>
          <w:rFonts w:ascii="Times New Roman" w:hAnsi="Times New Roman"/>
          <w:sz w:val="20"/>
          <w:szCs w:val="20"/>
        </w:rPr>
      </w:r>
    </w:p>
    <w:p>
      <w:pPr>
        <w:pStyle w:val="Normal"/>
        <w:spacing w:lineRule="auto" w:line="240" w:before="0" w:after="240"/>
        <w:ind w:firstLine="540"/>
        <w:jc w:val="both"/>
        <w:rPr>
          <w:rFonts w:ascii="Times New Roman" w:hAnsi="Times New Roman" w:eastAsia="Times New Roman"/>
          <w:color w:val="FF0000"/>
          <w:sz w:val="28"/>
          <w:szCs w:val="28"/>
          <w:lang w:eastAsia="ru-RU"/>
        </w:rPr>
      </w:pPr>
      <w:r>
        <w:rPr>
          <w:rFonts w:eastAsia="Times New Roman" w:ascii="Times New Roman" w:hAnsi="Times New Roman"/>
          <w:sz w:val="28"/>
          <w:szCs w:val="34"/>
        </w:rPr>
        <w:t xml:space="preserve">На основании вышеизложенного и в соответствии со ст. ст. 320, 327.1, 328 и 330 ГПК РФ, - </w:t>
      </w:r>
    </w:p>
    <w:p>
      <w:pPr>
        <w:pStyle w:val="TimesNewRoman"/>
        <w:ind w:hanging="0"/>
        <w:jc w:val="center"/>
        <w:rPr>
          <w:b/>
          <w:b/>
        </w:rPr>
      </w:pPr>
      <w:r>
        <w:rPr>
          <w:b/>
        </w:rPr>
        <w:t>ПРОШУ:</w:t>
      </w:r>
    </w:p>
    <w:p>
      <w:pPr>
        <w:pStyle w:val="TimesNewRoman"/>
        <w:jc w:val="center"/>
        <w:rPr>
          <w:sz w:val="20"/>
          <w:szCs w:val="20"/>
        </w:rPr>
      </w:pPr>
      <w:r>
        <w:rPr>
          <w:sz w:val="20"/>
          <w:szCs w:val="20"/>
        </w:rPr>
      </w:r>
    </w:p>
    <w:p>
      <w:pPr>
        <w:pStyle w:val="TimesNewRoman"/>
        <w:rPr/>
      </w:pPr>
      <w:r>
        <w:rPr/>
        <w:t>отменить решение Рязанского гарнизонного военного суда от 22 июня 2017 года полностью и вынести новое решение по делу.</w:t>
      </w:r>
    </w:p>
    <w:p>
      <w:pPr>
        <w:pStyle w:val="TimesNewRoman"/>
        <w:rPr>
          <w:sz w:val="20"/>
          <w:szCs w:val="20"/>
        </w:rPr>
      </w:pPr>
      <w:r>
        <w:rPr>
          <w:sz w:val="20"/>
          <w:szCs w:val="20"/>
        </w:rPr>
      </w:r>
    </w:p>
    <w:p>
      <w:pPr>
        <w:pStyle w:val="TimesNewRoman"/>
        <w:jc w:val="left"/>
        <w:rPr>
          <w:b/>
          <w:b/>
          <w:u w:val="single"/>
        </w:rPr>
      </w:pPr>
      <w:r>
        <w:rPr>
          <w:b/>
          <w:u w:val="single"/>
        </w:rPr>
        <w:t>Приложения:</w:t>
      </w:r>
    </w:p>
    <w:p>
      <w:pPr>
        <w:pStyle w:val="TimesNewRoman"/>
        <w:rPr>
          <w:sz w:val="20"/>
          <w:szCs w:val="20"/>
        </w:rPr>
      </w:pPr>
      <w:r>
        <w:rPr>
          <w:sz w:val="20"/>
          <w:szCs w:val="20"/>
        </w:rPr>
      </w:r>
    </w:p>
    <w:p>
      <w:pPr>
        <w:pStyle w:val="TimesNewRoman"/>
        <w:rPr/>
      </w:pPr>
      <w:r>
        <w:rPr/>
        <w:t>1. Копия апелляционной жалобы на 5 листах.</w:t>
      </w:r>
    </w:p>
    <w:p>
      <w:pPr>
        <w:pStyle w:val="TimesNewRoman"/>
        <w:rPr/>
      </w:pPr>
      <w:r>
        <w:rPr/>
        <w:t>2. Квитанция об оплате госпошлины,  на 1 листе.</w:t>
      </w:r>
    </w:p>
    <w:p>
      <w:pPr>
        <w:pStyle w:val="TimesNewRoman"/>
        <w:rPr>
          <w:sz w:val="20"/>
          <w:szCs w:val="20"/>
        </w:rPr>
      </w:pPr>
      <w:r>
        <w:rPr>
          <w:sz w:val="20"/>
          <w:szCs w:val="20"/>
        </w:rPr>
      </w:r>
    </w:p>
    <w:p>
      <w:pPr>
        <w:pStyle w:val="TimesNewRoman"/>
        <w:ind w:hanging="0"/>
        <w:rPr>
          <w:sz w:val="20"/>
          <w:szCs w:val="20"/>
        </w:rPr>
      </w:pPr>
      <w:r>
        <w:rPr>
          <w:sz w:val="20"/>
          <w:szCs w:val="20"/>
        </w:rPr>
      </w:r>
    </w:p>
    <w:p>
      <w:pPr>
        <w:pStyle w:val="TimesNewRoman"/>
        <w:rPr>
          <w:sz w:val="20"/>
          <w:szCs w:val="20"/>
        </w:rPr>
      </w:pPr>
      <w:r>
        <w:rPr>
          <w:sz w:val="20"/>
          <w:szCs w:val="20"/>
        </w:rPr>
      </w:r>
    </w:p>
    <w:p>
      <w:pPr>
        <w:pStyle w:val="TimesNewRoman"/>
        <w:rPr/>
      </w:pPr>
      <w:r>
        <w:rPr/>
        <w:t xml:space="preserve">18 июля  2017 года                                                                   </w:t>
      </w:r>
    </w:p>
    <w:p>
      <w:pPr>
        <w:pStyle w:val="TimesNewRoman"/>
        <w:rPr/>
      </w:pPr>
      <w:r>
        <w:rPr/>
      </w:r>
    </w:p>
    <w:p>
      <w:pPr>
        <w:pStyle w:val="TimesNewRoman"/>
        <w:rPr/>
      </w:pPr>
      <w:r>
        <w:rPr/>
      </w:r>
    </w:p>
    <w:p>
      <w:pPr>
        <w:pStyle w:val="TimesNewRoman"/>
        <w:rPr/>
      </w:pPr>
      <w:r>
        <w:rPr/>
      </w:r>
    </w:p>
    <w:p>
      <w:pPr>
        <w:pStyle w:val="TimesNewRoman"/>
        <w:rPr/>
      </w:pPr>
      <w:r>
        <w:rPr/>
      </w:r>
    </w:p>
    <w:sectPr>
      <w:type w:val="nextPage"/>
      <w:pgSz w:w="11906" w:h="16838"/>
      <w:pgMar w:left="1701" w:right="567" w:header="0" w:top="851"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9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315cf"/>
    <w:pPr>
      <w:widowControl/>
      <w:suppressAutoHyphens w:val="true"/>
      <w:bidi w:val="0"/>
      <w:spacing w:lineRule="auto" w:line="276" w:before="0" w:after="200"/>
      <w:jc w:val="left"/>
    </w:pPr>
    <w:rPr>
      <w:rFonts w:ascii="Calibri" w:hAnsi="Calibri" w:eastAsia="Calibri" w:cs="Times New Roman"/>
      <w:color w:val="00000A"/>
      <w:sz w:val="22"/>
      <w:szCs w:val="22"/>
      <w:lang w:val="ru-RU" w:eastAsia="en-US" w:bidi="ar-SA"/>
    </w:rPr>
  </w:style>
  <w:style w:type="paragraph" w:styleId="1">
    <w:name w:val="Заголовок 1"/>
    <w:basedOn w:val="Normal"/>
    <w:link w:val="10"/>
    <w:uiPriority w:val="99"/>
    <w:qFormat/>
    <w:rsid w:val="000c1466"/>
    <w:pPr>
      <w:keepNext/>
      <w:spacing w:lineRule="auto" w:line="240" w:before="0" w:after="0"/>
      <w:ind w:firstLine="720"/>
      <w:jc w:val="center"/>
      <w:outlineLvl w:val="0"/>
    </w:pPr>
    <w:rPr>
      <w:rFonts w:ascii="Times New Roman" w:hAnsi="Times New Roman" w:eastAsia="Times New Roman"/>
      <w:b/>
      <w:bCs/>
      <w:sz w:val="24"/>
      <w:szCs w:val="28"/>
      <w:lang w:eastAsia="ru-RU"/>
    </w:rPr>
  </w:style>
  <w:style w:type="paragraph" w:styleId="2">
    <w:name w:val="Заголовок 2"/>
    <w:basedOn w:val="Normal"/>
    <w:link w:val="20"/>
    <w:uiPriority w:val="99"/>
    <w:qFormat/>
    <w:rsid w:val="000c1466"/>
    <w:pPr>
      <w:keepNext/>
      <w:spacing w:lineRule="auto" w:line="240" w:before="0" w:after="0"/>
      <w:ind w:left="4675" w:hanging="0"/>
      <w:jc w:val="both"/>
      <w:outlineLvl w:val="1"/>
    </w:pPr>
    <w:rPr>
      <w:rFonts w:ascii="Courier New" w:hAnsi="Courier New" w:eastAsia="Times New Roman" w:cs="Courier New"/>
      <w:b/>
      <w:bCs/>
      <w:w w:val="90"/>
      <w:sz w:val="24"/>
      <w:szCs w:val="20"/>
      <w:lang w:eastAsia="ru-RU"/>
    </w:rPr>
  </w:style>
  <w:style w:type="paragraph" w:styleId="3">
    <w:name w:val="Заголовок 3"/>
    <w:basedOn w:val="Style16"/>
    <w:pPr/>
    <w:rPr/>
  </w:style>
  <w:style w:type="paragraph" w:styleId="4">
    <w:name w:val="Заголовок 4"/>
    <w:basedOn w:val="Normal"/>
    <w:link w:val="40"/>
    <w:uiPriority w:val="99"/>
    <w:qFormat/>
    <w:rsid w:val="00556ead"/>
    <w:pPr>
      <w:keepNext/>
      <w:keepLines/>
      <w:spacing w:before="200" w:after="0"/>
      <w:outlineLvl w:val="3"/>
    </w:pPr>
    <w:rPr>
      <w:rFonts w:ascii="Cambria" w:hAnsi="Cambria" w:eastAsia="Times New Roman"/>
      <w:b/>
      <w:bCs/>
      <w:i/>
      <w:iCs/>
      <w:color w:val="4F81BD"/>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0c1466"/>
    <w:rPr>
      <w:rFonts w:ascii="Times New Roman" w:hAnsi="Times New Roman" w:cs="Times New Roman"/>
      <w:b/>
      <w:bCs/>
      <w:sz w:val="28"/>
      <w:szCs w:val="28"/>
      <w:lang w:eastAsia="ru-RU"/>
    </w:rPr>
  </w:style>
  <w:style w:type="character" w:styleId="21" w:customStyle="1">
    <w:name w:val="Заголовок 2 Знак"/>
    <w:basedOn w:val="DefaultParagraphFont"/>
    <w:link w:val="2"/>
    <w:uiPriority w:val="99"/>
    <w:qFormat/>
    <w:locked/>
    <w:rsid w:val="000c1466"/>
    <w:rPr>
      <w:rFonts w:ascii="Courier New" w:hAnsi="Courier New" w:cs="Courier New"/>
      <w:b/>
      <w:bCs/>
      <w:w w:val="90"/>
      <w:sz w:val="20"/>
      <w:szCs w:val="20"/>
      <w:lang w:eastAsia="ru-RU"/>
    </w:rPr>
  </w:style>
  <w:style w:type="character" w:styleId="41" w:customStyle="1">
    <w:name w:val="Заголовок 4 Знак"/>
    <w:basedOn w:val="DefaultParagraphFont"/>
    <w:link w:val="4"/>
    <w:uiPriority w:val="99"/>
    <w:qFormat/>
    <w:locked/>
    <w:rsid w:val="00556ead"/>
    <w:rPr>
      <w:rFonts w:ascii="Cambria" w:hAnsi="Cambria" w:cs="Times New Roman"/>
      <w:b/>
      <w:bCs/>
      <w:i/>
      <w:iCs/>
      <w:color w:val="4F81BD"/>
    </w:rPr>
  </w:style>
  <w:style w:type="character" w:styleId="Style10" w:customStyle="1">
    <w:name w:val="Основной текст с отступом Знак"/>
    <w:basedOn w:val="DefaultParagraphFont"/>
    <w:link w:val="a3"/>
    <w:uiPriority w:val="99"/>
    <w:qFormat/>
    <w:locked/>
    <w:rsid w:val="001e2c0a"/>
    <w:rPr>
      <w:rFonts w:ascii="Times New Roman" w:hAnsi="Times New Roman" w:cs="Times New Roman"/>
      <w:sz w:val="20"/>
      <w:szCs w:val="20"/>
      <w:lang w:eastAsia="ru-RU"/>
    </w:rPr>
  </w:style>
  <w:style w:type="character" w:styleId="Style11" w:customStyle="1">
    <w:name w:val="Основной текст Знак"/>
    <w:basedOn w:val="DefaultParagraphFont"/>
    <w:link w:val="a5"/>
    <w:uiPriority w:val="99"/>
    <w:qFormat/>
    <w:locked/>
    <w:rsid w:val="001e2c0a"/>
    <w:rPr>
      <w:rFonts w:ascii="Times New Roman" w:hAnsi="Times New Roman" w:cs="Times New Roman"/>
      <w:sz w:val="26"/>
      <w:szCs w:val="26"/>
      <w:lang w:eastAsia="ru-RU"/>
    </w:rPr>
  </w:style>
  <w:style w:type="character" w:styleId="Style12" w:customStyle="1">
    <w:name w:val="Интернет-ссылка"/>
    <w:basedOn w:val="DefaultParagraphFont"/>
    <w:semiHidden/>
    <w:rsid w:val="00624610"/>
    <w:rPr>
      <w:color w:val="0000FF"/>
      <w:u w:val="single"/>
    </w:rPr>
  </w:style>
  <w:style w:type="character" w:styleId="Style13" w:customStyle="1">
    <w:name w:val="Название Знак"/>
    <w:basedOn w:val="DefaultParagraphFont"/>
    <w:link w:val="a8"/>
    <w:uiPriority w:val="99"/>
    <w:qFormat/>
    <w:locked/>
    <w:rsid w:val="000c1466"/>
    <w:rPr>
      <w:rFonts w:ascii="Times New Roman" w:hAnsi="Times New Roman" w:cs="Times New Roman"/>
      <w:b/>
      <w:bCs/>
      <w:sz w:val="26"/>
      <w:szCs w:val="26"/>
      <w:lang w:eastAsia="ru-RU"/>
    </w:rPr>
  </w:style>
  <w:style w:type="character" w:styleId="Style14">
    <w:name w:val="Выделение"/>
    <w:basedOn w:val="DefaultParagraphFont"/>
    <w:uiPriority w:val="99"/>
    <w:qFormat/>
    <w:rsid w:val="000c1466"/>
    <w:rPr>
      <w:rFonts w:cs="Times New Roman"/>
      <w:i/>
      <w:iCs/>
    </w:rPr>
  </w:style>
  <w:style w:type="character" w:styleId="ConsNonformat" w:customStyle="1">
    <w:name w:val="ConsNonformat Знак Знак Знак"/>
    <w:basedOn w:val="DefaultParagraphFont"/>
    <w:link w:val="ConsNonformat"/>
    <w:uiPriority w:val="99"/>
    <w:qFormat/>
    <w:locked/>
    <w:rsid w:val="000c1466"/>
    <w:rPr>
      <w:rFonts w:ascii="Courier New" w:hAnsi="Courier New" w:eastAsia="Times New Roman" w:cs="Courier New"/>
      <w:lang w:val="ru-RU" w:eastAsia="ru-RU" w:bidi="ar-SA"/>
    </w:rPr>
  </w:style>
  <w:style w:type="character" w:styleId="Document" w:customStyle="1">
    <w:name w:val="document"/>
    <w:basedOn w:val="DefaultParagraphFont"/>
    <w:uiPriority w:val="99"/>
    <w:qFormat/>
    <w:rsid w:val="003f1411"/>
    <w:rPr>
      <w:rFonts w:cs="Times New Roman"/>
    </w:rPr>
  </w:style>
  <w:style w:type="character" w:styleId="ConsNonformat1" w:customStyle="1">
    <w:name w:val="ConsNonformat Знак"/>
    <w:basedOn w:val="DefaultParagraphFont"/>
    <w:link w:val="ConsNonformat1"/>
    <w:uiPriority w:val="99"/>
    <w:qFormat/>
    <w:locked/>
    <w:rsid w:val="00f42ab0"/>
    <w:rPr>
      <w:rFonts w:ascii="Courier New" w:hAnsi="Courier New" w:eastAsia="Times New Roman" w:cs="Courier New"/>
      <w:lang w:val="ru-RU" w:eastAsia="ru-RU" w:bidi="ar-SA"/>
    </w:rPr>
  </w:style>
  <w:style w:type="character" w:styleId="22" w:customStyle="1">
    <w:name w:val="Основной текст с отступом 2 Знак"/>
    <w:basedOn w:val="DefaultParagraphFont"/>
    <w:link w:val="21"/>
    <w:uiPriority w:val="99"/>
    <w:qFormat/>
    <w:locked/>
    <w:rsid w:val="00f42ab0"/>
    <w:rPr>
      <w:rFonts w:cs="Times New Roman"/>
    </w:rPr>
  </w:style>
  <w:style w:type="character" w:styleId="AbsatzStandardschriftart" w:customStyle="1">
    <w:name w:val="Absatz-Standardschriftart"/>
    <w:uiPriority w:val="99"/>
    <w:qFormat/>
    <w:rsid w:val="00594751"/>
    <w:rPr/>
  </w:style>
  <w:style w:type="character" w:styleId="Style15" w:customStyle="1">
    <w:name w:val="Текст выноски Знак"/>
    <w:basedOn w:val="DefaultParagraphFont"/>
    <w:link w:val="ac"/>
    <w:uiPriority w:val="99"/>
    <w:semiHidden/>
    <w:qFormat/>
    <w:locked/>
    <w:rsid w:val="001979a6"/>
    <w:rPr>
      <w:rFonts w:ascii="Tahoma" w:hAnsi="Tahoma" w:cs="Tahoma"/>
      <w:sz w:val="16"/>
      <w:szCs w:val="16"/>
    </w:rPr>
  </w:style>
  <w:style w:type="character" w:styleId="TimesNewRoman1" w:customStyle="1">
    <w:name w:val="Обычный + Times New Roman1"/>
    <w:basedOn w:val="DefaultParagraphFont"/>
    <w:link w:val="TimesNewRoman"/>
    <w:uiPriority w:val="99"/>
    <w:qFormat/>
    <w:locked/>
    <w:rsid w:val="002a7437"/>
    <w:rPr>
      <w:rFonts w:ascii="Times New Roman" w:hAnsi="Times New Roman" w:eastAsia="Times New Roman" w:cs="Times New Roman"/>
      <w:sz w:val="28"/>
      <w:szCs w:val="28"/>
    </w:rPr>
  </w:style>
  <w:style w:type="character" w:styleId="Blk" w:customStyle="1">
    <w:name w:val="blk"/>
    <w:basedOn w:val="DefaultParagraphFont"/>
    <w:uiPriority w:val="99"/>
    <w:qFormat/>
    <w:rsid w:val="000e3ba7"/>
    <w:rPr>
      <w:rFonts w:cs="Times New Roman"/>
    </w:rPr>
  </w:style>
  <w:style w:type="character" w:styleId="Nomer2" w:customStyle="1">
    <w:name w:val="nomer2"/>
    <w:basedOn w:val="DefaultParagraphFont"/>
    <w:uiPriority w:val="99"/>
    <w:qFormat/>
    <w:rsid w:val="00b80783"/>
    <w:rPr>
      <w:rFonts w:cs="Times New Roman"/>
    </w:rPr>
  </w:style>
  <w:style w:type="character" w:styleId="Address2" w:customStyle="1">
    <w:name w:val="address2"/>
    <w:basedOn w:val="DefaultParagraphFont"/>
    <w:uiPriority w:val="99"/>
    <w:qFormat/>
    <w:rsid w:val="00b80783"/>
    <w:rPr>
      <w:rFonts w:cs="Times New Roman"/>
    </w:rPr>
  </w:style>
  <w:style w:type="character" w:styleId="Others9" w:customStyle="1">
    <w:name w:val="others9"/>
    <w:basedOn w:val="DefaultParagraphFont"/>
    <w:uiPriority w:val="99"/>
    <w:qFormat/>
    <w:rsid w:val="00aa04e8"/>
    <w:rPr>
      <w:rFonts w:cs="Times New Roman"/>
    </w:rPr>
  </w:style>
  <w:style w:type="character" w:styleId="Appleconvertedspace" w:customStyle="1">
    <w:name w:val="apple-converted-space"/>
    <w:basedOn w:val="DefaultParagraphFont"/>
    <w:uiPriority w:val="99"/>
    <w:qFormat/>
    <w:rsid w:val="00240a2c"/>
    <w:rPr>
      <w:rFonts w:cs="Times New Roman"/>
    </w:rPr>
  </w:style>
  <w:style w:type="character" w:styleId="ListLabel1">
    <w:name w:val="ListLabel 1"/>
    <w:qFormat/>
    <w:rPr>
      <w:rFonts w:cs="Times New Roman"/>
    </w:rPr>
  </w:style>
  <w:style w:type="paragraph" w:styleId="Style16">
    <w:name w:val="Заголовок"/>
    <w:basedOn w:val="Normal"/>
    <w:next w:val="Style17"/>
    <w:qFormat/>
    <w:pPr>
      <w:keepNext/>
      <w:spacing w:before="240" w:after="120"/>
    </w:pPr>
    <w:rPr>
      <w:rFonts w:ascii="Liberation Sans" w:hAnsi="Liberation Sans" w:eastAsia="Microsoft YaHei" w:cs="Lucida Sans"/>
      <w:sz w:val="28"/>
      <w:szCs w:val="28"/>
    </w:rPr>
  </w:style>
  <w:style w:type="paragraph" w:styleId="Style17">
    <w:name w:val="Основной текст"/>
    <w:basedOn w:val="Normal"/>
    <w:link w:val="a6"/>
    <w:uiPriority w:val="99"/>
    <w:rsid w:val="001e2c0a"/>
    <w:pPr>
      <w:spacing w:lineRule="auto" w:line="240" w:before="0" w:after="0"/>
    </w:pPr>
    <w:rPr>
      <w:rFonts w:ascii="Times New Roman" w:hAnsi="Times New Roman" w:eastAsia="Times New Roman"/>
      <w:sz w:val="26"/>
      <w:szCs w:val="26"/>
      <w:lang w:eastAsia="ru-RU"/>
    </w:rPr>
  </w:style>
  <w:style w:type="paragraph" w:styleId="Style18">
    <w:name w:val="Список"/>
    <w:basedOn w:val="Style17"/>
    <w:pPr/>
    <w:rPr>
      <w:rFonts w:cs="Lucida Sans"/>
    </w:rPr>
  </w:style>
  <w:style w:type="paragraph" w:styleId="Style19">
    <w:name w:val="Название"/>
    <w:basedOn w:val="Normal"/>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Style21">
    <w:name w:val="Основной текст с отступом"/>
    <w:basedOn w:val="Normal"/>
    <w:link w:val="a4"/>
    <w:uiPriority w:val="99"/>
    <w:rsid w:val="001e2c0a"/>
    <w:pPr>
      <w:spacing w:lineRule="auto" w:line="240" w:before="0" w:after="0"/>
      <w:ind w:firstLine="748"/>
      <w:jc w:val="both"/>
    </w:pPr>
    <w:rPr>
      <w:rFonts w:ascii="Times New Roman" w:hAnsi="Times New Roman" w:eastAsia="Times New Roman"/>
      <w:sz w:val="26"/>
      <w:szCs w:val="20"/>
      <w:lang w:eastAsia="ru-RU"/>
    </w:rPr>
  </w:style>
  <w:style w:type="paragraph" w:styleId="Style22">
    <w:name w:val="Заглавие"/>
    <w:basedOn w:val="Normal"/>
    <w:link w:val="a9"/>
    <w:uiPriority w:val="99"/>
    <w:qFormat/>
    <w:rsid w:val="000c1466"/>
    <w:pPr>
      <w:spacing w:lineRule="auto" w:line="240" w:before="0" w:after="0"/>
      <w:ind w:left="5070" w:hanging="0"/>
      <w:jc w:val="center"/>
    </w:pPr>
    <w:rPr>
      <w:rFonts w:ascii="Times New Roman" w:hAnsi="Times New Roman" w:eastAsia="Times New Roman"/>
      <w:b/>
      <w:bCs/>
      <w:sz w:val="26"/>
      <w:szCs w:val="26"/>
      <w:lang w:eastAsia="ru-RU"/>
    </w:rPr>
  </w:style>
  <w:style w:type="paragraph" w:styleId="ConsNonformat2" w:customStyle="1">
    <w:name w:val="ConsNonformat Знак Знак"/>
    <w:link w:val="ConsNonformat0"/>
    <w:uiPriority w:val="99"/>
    <w:qFormat/>
    <w:rsid w:val="000c1466"/>
    <w:pPr>
      <w:widowControl w:val="false"/>
      <w:suppressAutoHyphens w:val="true"/>
      <w:bidi w:val="0"/>
      <w:jc w:val="left"/>
    </w:pPr>
    <w:rPr>
      <w:rFonts w:ascii="Courier New" w:hAnsi="Courier New" w:eastAsia="Times New Roman" w:cs="Courier New"/>
      <w:color w:val="00000A"/>
      <w:sz w:val="22"/>
      <w:szCs w:val="20"/>
      <w:lang w:val="ru-RU" w:eastAsia="ru-RU" w:bidi="ar-SA"/>
    </w:rPr>
  </w:style>
  <w:style w:type="paragraph" w:styleId="ConsNonformat3" w:customStyle="1">
    <w:name w:val="ConsNonformat"/>
    <w:link w:val="ConsNonformat2"/>
    <w:uiPriority w:val="99"/>
    <w:qFormat/>
    <w:rsid w:val="00f42ab0"/>
    <w:pPr>
      <w:widowControl w:val="false"/>
      <w:suppressAutoHyphens w:val="true"/>
      <w:bidi w:val="0"/>
      <w:jc w:val="left"/>
    </w:pPr>
    <w:rPr>
      <w:rFonts w:ascii="Courier New" w:hAnsi="Courier New" w:eastAsia="Times New Roman" w:cs="Courier New"/>
      <w:color w:val="00000A"/>
      <w:sz w:val="22"/>
      <w:szCs w:val="20"/>
      <w:lang w:val="ru-RU" w:eastAsia="ru-RU" w:bidi="ar-SA"/>
    </w:rPr>
  </w:style>
  <w:style w:type="paragraph" w:styleId="BodyTextIndent2">
    <w:name w:val="Body Text Indent 2"/>
    <w:basedOn w:val="Normal"/>
    <w:link w:val="22"/>
    <w:uiPriority w:val="99"/>
    <w:qFormat/>
    <w:rsid w:val="00f42ab0"/>
    <w:pPr>
      <w:spacing w:lineRule="auto" w:line="480" w:before="0" w:after="120"/>
      <w:ind w:left="283" w:hanging="0"/>
    </w:pPr>
    <w:rPr/>
  </w:style>
  <w:style w:type="paragraph" w:styleId="ListParagraph">
    <w:name w:val="List Paragraph"/>
    <w:basedOn w:val="Normal"/>
    <w:uiPriority w:val="99"/>
    <w:qFormat/>
    <w:rsid w:val="00a416ad"/>
    <w:pPr>
      <w:spacing w:before="0" w:after="200"/>
      <w:ind w:left="720" w:hanging="0"/>
      <w:contextualSpacing/>
    </w:pPr>
    <w:rPr/>
  </w:style>
  <w:style w:type="paragraph" w:styleId="211" w:customStyle="1">
    <w:name w:val="Основной текст с отступом 21"/>
    <w:basedOn w:val="Normal"/>
    <w:uiPriority w:val="99"/>
    <w:qFormat/>
    <w:rsid w:val="00594751"/>
    <w:pPr>
      <w:suppressAutoHyphens w:val="true"/>
      <w:spacing w:lineRule="auto" w:line="240" w:before="0" w:after="0"/>
      <w:ind w:firstLine="720"/>
    </w:pPr>
    <w:rPr>
      <w:rFonts w:ascii="Times New Roman" w:hAnsi="Times New Roman" w:eastAsia="Times New Roman"/>
      <w:color w:val="000000"/>
      <w:sz w:val="26"/>
      <w:lang w:eastAsia="ar-SA"/>
    </w:rPr>
  </w:style>
  <w:style w:type="paragraph" w:styleId="ConsPlusNormal" w:customStyle="1">
    <w:name w:val="ConsPlusNormal"/>
    <w:uiPriority w:val="99"/>
    <w:qFormat/>
    <w:rsid w:val="001752cb"/>
    <w:pPr>
      <w:widowControl w:val="false"/>
      <w:suppressAutoHyphens w:val="true"/>
      <w:bidi w:val="0"/>
      <w:jc w:val="left"/>
    </w:pPr>
    <w:rPr>
      <w:rFonts w:ascii="Arial" w:hAnsi="Arial" w:eastAsia="Times New Roman" w:cs="Arial"/>
      <w:color w:val="00000A"/>
      <w:sz w:val="22"/>
      <w:szCs w:val="20"/>
      <w:lang w:val="ru-RU" w:eastAsia="ru-RU" w:bidi="ar-SA"/>
    </w:rPr>
  </w:style>
  <w:style w:type="paragraph" w:styleId="BalloonText">
    <w:name w:val="Balloon Text"/>
    <w:basedOn w:val="Normal"/>
    <w:link w:val="ad"/>
    <w:uiPriority w:val="99"/>
    <w:semiHidden/>
    <w:qFormat/>
    <w:rsid w:val="001979a6"/>
    <w:pPr>
      <w:spacing w:lineRule="auto" w:line="240" w:before="0" w:after="0"/>
    </w:pPr>
    <w:rPr>
      <w:rFonts w:ascii="Tahoma" w:hAnsi="Tahoma" w:cs="Tahoma"/>
      <w:sz w:val="16"/>
      <w:szCs w:val="16"/>
    </w:rPr>
  </w:style>
  <w:style w:type="paragraph" w:styleId="PostbodyTimesNewRoman" w:customStyle="1">
    <w:name w:val="postbody + Times New Roman"/>
    <w:basedOn w:val="Normal"/>
    <w:uiPriority w:val="99"/>
    <w:qFormat/>
    <w:rsid w:val="00291c60"/>
    <w:pPr>
      <w:spacing w:lineRule="auto" w:line="240" w:before="0" w:after="0"/>
      <w:ind w:left="3827" w:hanging="0"/>
      <w:jc w:val="both"/>
    </w:pPr>
    <w:rPr>
      <w:b/>
      <w:bCs/>
      <w:sz w:val="28"/>
      <w:szCs w:val="28"/>
      <w:lang w:eastAsia="ar-SA"/>
    </w:rPr>
  </w:style>
  <w:style w:type="paragraph" w:styleId="NormalWeb">
    <w:name w:val="Normal (Web)"/>
    <w:basedOn w:val="Normal"/>
    <w:uiPriority w:val="99"/>
    <w:qFormat/>
    <w:rsid w:val="00291c60"/>
    <w:pPr>
      <w:spacing w:lineRule="auto" w:line="240" w:before="280" w:after="280"/>
    </w:pPr>
    <w:rPr>
      <w:rFonts w:ascii="Times New Roman" w:hAnsi="Times New Roman" w:eastAsia="Times New Roman"/>
      <w:sz w:val="24"/>
      <w:szCs w:val="24"/>
      <w:lang w:eastAsia="ar-SA"/>
    </w:rPr>
  </w:style>
  <w:style w:type="paragraph" w:styleId="NoSpacing">
    <w:name w:val="No Spacing"/>
    <w:uiPriority w:val="1"/>
    <w:qFormat/>
    <w:rsid w:val="00291c60"/>
    <w:pPr>
      <w:widowControl/>
      <w:suppressAutoHyphens w:val="true"/>
      <w:bidi w:val="0"/>
      <w:jc w:val="left"/>
    </w:pPr>
    <w:rPr>
      <w:rFonts w:ascii="Calibri" w:hAnsi="Calibri" w:eastAsia="Calibri" w:cs="Times New Roman"/>
      <w:color w:val="00000A"/>
      <w:sz w:val="22"/>
      <w:szCs w:val="22"/>
      <w:lang w:val="ru-RU" w:eastAsia="ar-SA" w:bidi="ar-SA"/>
    </w:rPr>
  </w:style>
  <w:style w:type="paragraph" w:styleId="14" w:customStyle="1">
    <w:name w:val="Обычный + 14 пт"/>
    <w:basedOn w:val="Normal"/>
    <w:uiPriority w:val="99"/>
    <w:qFormat/>
    <w:rsid w:val="00bc5863"/>
    <w:pPr>
      <w:spacing w:lineRule="auto" w:line="240" w:before="0" w:after="0"/>
      <w:ind w:left="3686" w:hanging="0"/>
    </w:pPr>
    <w:rPr>
      <w:rFonts w:ascii="Times New Roman" w:hAnsi="Times New Roman"/>
      <w:b/>
      <w:sz w:val="28"/>
      <w:szCs w:val="28"/>
      <w:lang w:eastAsia="ar-SA"/>
    </w:rPr>
  </w:style>
  <w:style w:type="paragraph" w:styleId="TimesNewRoman" w:customStyle="1">
    <w:name w:val="Обычный + Times New Roman"/>
    <w:basedOn w:val="Normal"/>
    <w:link w:val="TimesNewRoman1"/>
    <w:uiPriority w:val="99"/>
    <w:qFormat/>
    <w:rsid w:val="002a7437"/>
    <w:pPr>
      <w:spacing w:lineRule="auto" w:line="240" w:before="0" w:after="0"/>
      <w:ind w:firstLine="540"/>
      <w:jc w:val="both"/>
    </w:pPr>
    <w:rPr>
      <w:rFonts w:ascii="Times New Roman" w:hAnsi="Times New Roman"/>
      <w:sz w:val="28"/>
      <w:szCs w:val="28"/>
    </w:rPr>
  </w:style>
  <w:style w:type="paragraph" w:styleId="Style23">
    <w:name w:val="Блочная цитата"/>
    <w:basedOn w:val="Normal"/>
    <w:qFormat/>
    <w:pPr/>
    <w:rPr/>
  </w:style>
  <w:style w:type="paragraph" w:styleId="Style24">
    <w:name w:val="Подзаголовок"/>
    <w:basedOn w:val="Style16"/>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dact.ru/law/gk-rf-chast2/razdel-iv/glava-60/statia-1102/" TargetMode="External"/><Relationship Id="rId3" Type="http://schemas.openxmlformats.org/officeDocument/2006/relationships/hyperlink" Target="http://sudact.ru/law/gk-rf-chast2/razdel-iv/glava-60/statia-1109/" TargetMode="External"/><Relationship Id="rId4" Type="http://schemas.openxmlformats.org/officeDocument/2006/relationships/hyperlink" Target="http://sudact.ru/law/gk-rf-chast2/razdel-iv/glava-60/statia-1109/" TargetMode="External"/><Relationship Id="rId5" Type="http://schemas.openxmlformats.org/officeDocument/2006/relationships/hyperlink" Target="https://rospravosudie.com/law/&#1057;&#1090;&#1072;&#1090;&#1100;&#1103;_1109_&#1043;&#1050;_&#1056;&#1060;"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2A0715-5334-4053-AAF3-6A3E0370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LibreOffice/4.4.4.3$Windows_x86 LibreOffice_project/2c39ebcf046445232b798108aa8a7e7d89552ea8</Application>
  <Paragraphs>43</Paragraph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2016-01-05T10:14:00Z</dcterms:created>
  <dc:creator>User</dc:creator>
  <dc:language>ru-RU</dc:language>
  <cp:lastPrinted>2017-07-18T08:40:22Z</cp:lastPrinted>
  <dcterms:modified xsi:type="dcterms:W3CDTF">2017-07-18T11:49:51Z</dcterms:modified>
  <cp:revision>147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