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:rsidR="00000000" w:rsidRDefault="006068E8">
      <w:pPr>
        <w:pStyle w:val="1"/>
      </w:pPr>
      <w:r>
        <w:fldChar w:fldCharType="begin"/>
      </w:r>
      <w:r>
        <w:instrText>HYPERLINK "http://ivo.garant.ru/document?id=58101857&amp;sub=0"</w:instrText>
      </w:r>
      <w:r>
        <w:fldChar w:fldCharType="separate"/>
      </w:r>
      <w:r>
        <w:rPr>
          <w:rStyle w:val="a4"/>
          <w:b w:val="0"/>
          <w:bCs w:val="0"/>
        </w:rPr>
        <w:t>Постановление Конституционного Суда РФ от 2 июня 2011 г. N 11-П</w:t>
      </w:r>
      <w:r>
        <w:rPr>
          <w:rStyle w:val="a4"/>
          <w:b w:val="0"/>
          <w:bCs w:val="0"/>
        </w:rPr>
        <w:br/>
        <w:t>"По делу о проверке конституционности статьи 56 Закона Российской Федерации "О пенсионном обеспечении лиц, проходивших военную службу, службу в органах внутренних дел, Государственной противоп</w:t>
      </w:r>
      <w:r>
        <w:rPr>
          <w:rStyle w:val="a4"/>
          <w:b w:val="0"/>
          <w:bCs w:val="0"/>
        </w:rPr>
        <w:t>ожарной службе, органах по контролю за оборотом наркотических средств и психотропных веществ, учреждениях и органах уголовно-исполнительной системы, и их семей" в связи с жалобой гражданина В.Т. Казанцева"</w:t>
      </w:r>
      <w:r>
        <w:fldChar w:fldCharType="end"/>
      </w:r>
    </w:p>
    <w:p w:rsidR="00000000" w:rsidRDefault="006068E8"/>
    <w:p w:rsidR="00000000" w:rsidRDefault="006068E8">
      <w:pPr>
        <w:pStyle w:val="1"/>
      </w:pPr>
      <w:r>
        <w:t>Именем Российской Федерации</w:t>
      </w:r>
    </w:p>
    <w:p w:rsidR="00000000" w:rsidRDefault="006068E8"/>
    <w:p w:rsidR="00000000" w:rsidRDefault="006068E8">
      <w:r>
        <w:t>Конституционный Суд Российской Федерации в составе Председателя В.Д. Зорькина, судей К.В. Арановского, А.И. Бойцова, Н.С. Бондаря, Г.А. Гаджиева, Ю.М. Данилова, Л.М. Жарковой, Г.А. Жилина, С.М. Казанцева, М.И. Клеандрова, С.Д. Князева, А.Н. Кокотова, Л.О. </w:t>
      </w:r>
      <w:r>
        <w:t>Красавчиковой, С.П. Маврина, Н.В. Мельникова, Ю.Д. Рудкина, Н.В. Селезнева, О.С. Хохряковой, В.Г. Ярославцева,</w:t>
      </w:r>
    </w:p>
    <w:p w:rsidR="00000000" w:rsidRDefault="006068E8">
      <w:r>
        <w:t>с участием гражданина В.Т. Казанцева, постоянного представителя Государственной Думы в Конституционном Суде Российской Федерации А.Н. Харитонова,</w:t>
      </w:r>
      <w:r>
        <w:t xml:space="preserve"> представителя Совета Федерации - доктора юридических наук Е.В. Виноградовой, полномочного представителя Президента Российской Федерации в Конституционном Суде Российской Федерации М.В. Кротова,</w:t>
      </w:r>
    </w:p>
    <w:p w:rsidR="00000000" w:rsidRDefault="006068E8">
      <w:r>
        <w:t>руководствуясь статьей 125 (</w:t>
      </w:r>
      <w:hyperlink r:id="rId5" w:history="1">
        <w:r>
          <w:rPr>
            <w:rStyle w:val="a4"/>
          </w:rPr>
          <w:t>часть 4</w:t>
        </w:r>
      </w:hyperlink>
      <w:r>
        <w:t xml:space="preserve">) Конституции Российской Федерации, </w:t>
      </w:r>
      <w:hyperlink r:id="rId6" w:history="1">
        <w:r>
          <w:rPr>
            <w:rStyle w:val="a4"/>
          </w:rPr>
          <w:t>пунктом 3 части первой</w:t>
        </w:r>
      </w:hyperlink>
      <w:r>
        <w:t xml:space="preserve">, </w:t>
      </w:r>
      <w:hyperlink r:id="rId7" w:history="1">
        <w:r>
          <w:rPr>
            <w:rStyle w:val="a4"/>
          </w:rPr>
          <w:t>частями третьей</w:t>
        </w:r>
      </w:hyperlink>
      <w:r>
        <w:t xml:space="preserve"> и </w:t>
      </w:r>
      <w:hyperlink r:id="rId8" w:history="1">
        <w:r>
          <w:rPr>
            <w:rStyle w:val="a4"/>
          </w:rPr>
          <w:t>четвертой статьи 3</w:t>
        </w:r>
      </w:hyperlink>
      <w:r>
        <w:t xml:space="preserve">, </w:t>
      </w:r>
      <w:hyperlink r:id="rId9" w:history="1">
        <w:r>
          <w:rPr>
            <w:rStyle w:val="a4"/>
          </w:rPr>
          <w:t>частью первой статьи 21</w:t>
        </w:r>
      </w:hyperlink>
      <w:r>
        <w:t xml:space="preserve">, </w:t>
      </w:r>
      <w:hyperlink r:id="rId10" w:history="1">
        <w:r>
          <w:rPr>
            <w:rStyle w:val="a4"/>
          </w:rPr>
          <w:t>статьями 36</w:t>
        </w:r>
      </w:hyperlink>
      <w:r>
        <w:t xml:space="preserve">, </w:t>
      </w:r>
      <w:hyperlink r:id="rId11" w:history="1">
        <w:r>
          <w:rPr>
            <w:rStyle w:val="a4"/>
          </w:rPr>
          <w:t>74</w:t>
        </w:r>
      </w:hyperlink>
      <w:r>
        <w:t xml:space="preserve">, </w:t>
      </w:r>
      <w:hyperlink r:id="rId12" w:history="1">
        <w:r>
          <w:rPr>
            <w:rStyle w:val="a4"/>
          </w:rPr>
          <w:t>86</w:t>
        </w:r>
      </w:hyperlink>
      <w:r>
        <w:t xml:space="preserve">, </w:t>
      </w:r>
      <w:hyperlink r:id="rId13" w:history="1">
        <w:r>
          <w:rPr>
            <w:rStyle w:val="a4"/>
          </w:rPr>
          <w:t>96</w:t>
        </w:r>
      </w:hyperlink>
      <w:r>
        <w:t xml:space="preserve">, </w:t>
      </w:r>
      <w:hyperlink r:id="rId14" w:history="1">
        <w:r>
          <w:rPr>
            <w:rStyle w:val="a4"/>
          </w:rPr>
          <w:t>97</w:t>
        </w:r>
      </w:hyperlink>
      <w:r>
        <w:t xml:space="preserve"> и </w:t>
      </w:r>
      <w:hyperlink r:id="rId15" w:history="1">
        <w:r>
          <w:rPr>
            <w:rStyle w:val="a4"/>
          </w:rPr>
          <w:t>99</w:t>
        </w:r>
      </w:hyperlink>
      <w:r>
        <w:t xml:space="preserve"> Федерального конституционного закона "О Конституционном Суде Российской Федерации",</w:t>
      </w:r>
    </w:p>
    <w:p w:rsidR="00000000" w:rsidRDefault="006068E8">
      <w:r>
        <w:t xml:space="preserve">рассмотрел в открытом заседании дело о проверке конституционности </w:t>
      </w:r>
      <w:hyperlink r:id="rId16" w:history="1">
        <w:r>
          <w:rPr>
            <w:rStyle w:val="a4"/>
          </w:rPr>
          <w:t>статьи 56</w:t>
        </w:r>
      </w:hyperlink>
      <w:r>
        <w:t xml:space="preserve"> Закона Российской Федерации "О пенсионном обеспечении лиц, проходивших военную службу, службу в органах внутренних дел, Государственной противопожарной службе, органах по контролю за оборотом наркотических средств и психотропных ве</w:t>
      </w:r>
      <w:r>
        <w:t>ществ, учреждениях и органах уголовно-исполнительной системы, и их семей".</w:t>
      </w:r>
    </w:p>
    <w:p w:rsidR="00000000" w:rsidRDefault="006068E8">
      <w:r>
        <w:t xml:space="preserve">Поводом к рассмотрению дела явилась жалоба гражданина В.Т. Казанцева. Основанием к рассмотрению дела явилась обнаружившаяся неопределенность в вопросе о том, соответствуют ли </w:t>
      </w:r>
      <w:hyperlink r:id="rId17" w:history="1">
        <w:r>
          <w:rPr>
            <w:rStyle w:val="a4"/>
          </w:rPr>
          <w:t>Конституции</w:t>
        </w:r>
      </w:hyperlink>
      <w:r>
        <w:t xml:space="preserve"> Российской Федерации оспариваемые заявителем законоположения.</w:t>
      </w:r>
    </w:p>
    <w:p w:rsidR="00000000" w:rsidRDefault="006068E8">
      <w:r>
        <w:t>Заслушав сообщение судьи-докладчика С.П. Маврина, объяснения представителей сторон, выступление приглашенного в заседание пред</w:t>
      </w:r>
      <w:r>
        <w:t>ставителя от Генерального прокурора Российской Федерации - Т.А. Васильевой, исследовав представленные документы и иные материалы, Конституционный Суд Российской Федерации установил:</w:t>
      </w:r>
    </w:p>
    <w:p w:rsidR="00000000" w:rsidRDefault="006068E8">
      <w:bookmarkStart w:id="1" w:name="sub_1"/>
      <w:r>
        <w:t xml:space="preserve">1. </w:t>
      </w:r>
      <w:hyperlink r:id="rId18" w:history="1">
        <w:r>
          <w:rPr>
            <w:rStyle w:val="a4"/>
          </w:rPr>
          <w:t>Статья 56</w:t>
        </w:r>
      </w:hyperlink>
      <w:r>
        <w:t xml:space="preserve"> Закона Российской Федерации от 12 февраля 1993 года N 4468-I "О пенсионном обеспечении лиц, проходивших военную службу, службу в органах внутренних дел, Государственной противопожарной службе, органах по контролю за оборотом наркотических средств и психо</w:t>
      </w:r>
      <w:r>
        <w:t>тропных веществ, учреждениях и органах уголовно-исполнительной системы, и их семей" определяет общий порядок выплаты пенсий, предусмотренных данным Законом.</w:t>
      </w:r>
    </w:p>
    <w:bookmarkEnd w:id="1"/>
    <w:p w:rsidR="00000000" w:rsidRDefault="006068E8">
      <w:r>
        <w:t>Оспаривающий конституционность этой статьи заявитель по настоящему делу гражданин В.Т. Казанце</w:t>
      </w:r>
      <w:r>
        <w:t>в на момент увольнения с военной службы в 1992 году не был обеспечен жилым помещением и проживал в общежитии в городе Ростове-на-Дону, где и был зарегистрирован временно. По истечении срока регистрации по месту пребывания выплата назначенной ему в соответс</w:t>
      </w:r>
      <w:r>
        <w:t>твии с названным Законом пенсии за выслугу лет была приостановлена Военным комиссариатом Ростовской области до подтверждения места жительства. Октябрьский районный суд города Ростова-на-Дону решением от 16 июня 2009 года признал действия Военного комиссари</w:t>
      </w:r>
      <w:r>
        <w:t>ата Ростовской области правомерными и отказал В.Т. Казанцеву в удовлетворении исковых требований о компенсации морального вреда, причиненного невыплатой пенсии.</w:t>
      </w:r>
    </w:p>
    <w:p w:rsidR="00000000" w:rsidRDefault="006068E8">
      <w:r>
        <w:lastRenderedPageBreak/>
        <w:t xml:space="preserve">После выселения из временно занимаемого жилого помещения В.Т. Казанцев переехал в Москву, куда </w:t>
      </w:r>
      <w:r>
        <w:t>было направлено и его пенсионное дело, однако выплата пенсии ему не производилась по причине отсутствия документов, подтверждающих факт его регистрации в Москве. Оставляя без удовлетворения исковые требования В.Т. Казанцева к Правительству Российской Федер</w:t>
      </w:r>
      <w:r>
        <w:t>ации и Военному комиссариату города Москвы о предоставлении жилья и выплате пенсии, Пресненский районный суд города Москвы указал, что решение вопросов, связанных с обеспечением граждан Российской Федерации жилыми помещениями, к компетенции Правительства Р</w:t>
      </w:r>
      <w:r>
        <w:t>оссийской Федерации не относится, а пенсионное обеспечение осуществляется военными комиссариатами по месту жительства лиц, уволенных с военной службы, каковым Военный комиссариат города Москвы в данном случае не является, поскольку истцом не представлено д</w:t>
      </w:r>
      <w:r>
        <w:t>оказательств, подтверждающих факт его регистрации в Москве (решение от 14 декабря 2010 года).</w:t>
      </w:r>
    </w:p>
    <w:p w:rsidR="00000000" w:rsidRDefault="006068E8">
      <w:r>
        <w:t xml:space="preserve">Нарушение положениями </w:t>
      </w:r>
      <w:hyperlink r:id="rId19" w:history="1">
        <w:r>
          <w:rPr>
            <w:rStyle w:val="a4"/>
          </w:rPr>
          <w:t>статьи 56</w:t>
        </w:r>
      </w:hyperlink>
      <w:r>
        <w:t xml:space="preserve"> Закона Российской Федерации "О пенсионном обеспечении лиц, проходивших в</w:t>
      </w:r>
      <w:r>
        <w:t>оенную службу, службу в органах внутренних дел, Государственной противопожарной службе, органах по контролю за оборотом наркотических средств и психотропных веществ, учреждениях и органах уголовно-исполнительной системы, и их семей" своих конституционных п</w:t>
      </w:r>
      <w:r>
        <w:t>рав гражданин В.Т. Казанцев усматривает в том, что они позволяют прекращать выплату пенсии в связи с отсутствием у пенсионера регистрации по месту жительства или месту пребывания в пределах территории Российской Федерации вследствие неисполнения государств</w:t>
      </w:r>
      <w:r>
        <w:t>ом своих публично-правовых обязательств по обеспечению его жилым помещением и по тому же основанию при переезде пенсионера - отказывать ему в выплате пенсии по новому месту жительства или месту пребывания. Такое регулирование, по мнению заявителя, противор</w:t>
      </w:r>
      <w:r>
        <w:t xml:space="preserve">ечит Конституции Российской Федерации, ее </w:t>
      </w:r>
      <w:hyperlink r:id="rId20" w:history="1">
        <w:r>
          <w:rPr>
            <w:rStyle w:val="a4"/>
          </w:rPr>
          <w:t>статьям 2</w:t>
        </w:r>
      </w:hyperlink>
      <w:r>
        <w:t>, 19 (</w:t>
      </w:r>
      <w:hyperlink r:id="rId21" w:history="1">
        <w:r>
          <w:rPr>
            <w:rStyle w:val="a4"/>
          </w:rPr>
          <w:t>части 1</w:t>
        </w:r>
      </w:hyperlink>
      <w:r>
        <w:t xml:space="preserve"> и </w:t>
      </w:r>
      <w:hyperlink r:id="rId22" w:history="1">
        <w:r>
          <w:rPr>
            <w:rStyle w:val="a4"/>
          </w:rPr>
          <w:t>2</w:t>
        </w:r>
      </w:hyperlink>
      <w:r>
        <w:t>), 39 (</w:t>
      </w:r>
      <w:hyperlink r:id="rId23" w:history="1">
        <w:r>
          <w:rPr>
            <w:rStyle w:val="a4"/>
          </w:rPr>
          <w:t>части 1</w:t>
        </w:r>
      </w:hyperlink>
      <w:r>
        <w:t xml:space="preserve"> и </w:t>
      </w:r>
      <w:hyperlink r:id="rId24" w:history="1">
        <w:r>
          <w:rPr>
            <w:rStyle w:val="a4"/>
          </w:rPr>
          <w:t>2</w:t>
        </w:r>
      </w:hyperlink>
      <w:r>
        <w:t>) и 55 (</w:t>
      </w:r>
      <w:hyperlink r:id="rId25" w:history="1">
        <w:r>
          <w:rPr>
            <w:rStyle w:val="a4"/>
          </w:rPr>
          <w:t>часть 3</w:t>
        </w:r>
      </w:hyperlink>
      <w:r>
        <w:t>).</w:t>
      </w:r>
    </w:p>
    <w:p w:rsidR="00000000" w:rsidRDefault="006068E8">
      <w:r>
        <w:t xml:space="preserve">Как следует из </w:t>
      </w:r>
      <w:hyperlink r:id="rId26" w:history="1">
        <w:r>
          <w:rPr>
            <w:rStyle w:val="a4"/>
          </w:rPr>
          <w:t>статей 74</w:t>
        </w:r>
      </w:hyperlink>
      <w:r>
        <w:t xml:space="preserve">, </w:t>
      </w:r>
      <w:hyperlink r:id="rId27" w:history="1">
        <w:r>
          <w:rPr>
            <w:rStyle w:val="a4"/>
          </w:rPr>
          <w:t>96</w:t>
        </w:r>
      </w:hyperlink>
      <w:r>
        <w:t xml:space="preserve"> и </w:t>
      </w:r>
      <w:hyperlink r:id="rId28" w:history="1">
        <w:r>
          <w:rPr>
            <w:rStyle w:val="a4"/>
          </w:rPr>
          <w:t>97</w:t>
        </w:r>
      </w:hyperlink>
      <w:r>
        <w:t xml:space="preserve"> Федерального конституционного закона "О Конституционном </w:t>
      </w:r>
      <w:r>
        <w:t>Суде Российской Федерации", Конституционный Суд Российской Федерации принимает постановление только по предмету, указанному в жалобе гражданина на нарушение его конституционных прав законом, и только в отношении той части оспариваемых законоположений, в ка</w:t>
      </w:r>
      <w:r>
        <w:t>кой они были применены в конкретном деле заявителя и затрагивают его конституционные права и свободы; при этом Конституционный Суд Российской Федерации оценивает как буквальный смысл этих законоположений, так и смысл, придаваемый им официальным и иным толк</w:t>
      </w:r>
      <w:r>
        <w:t>ованием, а также сложившейся правоприменительной практикой, и учитывает их место в системе правовых актов.</w:t>
      </w:r>
    </w:p>
    <w:p w:rsidR="00000000" w:rsidRDefault="006068E8">
      <w:r>
        <w:t xml:space="preserve">Таким образом, предметом рассмотрения Конституционного Суда Российской Федерации по настоящему делу являются взаимосвязанные положения </w:t>
      </w:r>
      <w:hyperlink r:id="rId29" w:history="1">
        <w:r>
          <w:rPr>
            <w:rStyle w:val="a4"/>
          </w:rPr>
          <w:t>статьи 56</w:t>
        </w:r>
      </w:hyperlink>
      <w:r>
        <w:t xml:space="preserve"> Закона Российской Федерации "О пенсионном обеспечении лиц, проходивших военную службу, службу в органах внутренних дел, Государственной противопожарной службе, органах по контролю за оборотом наркотичес</w:t>
      </w:r>
      <w:r>
        <w:t>ких средств и психотропных веществ, учреждениях и органах уголовно-исполнительной системы, и их семей" в той части, в какой они устанавливают, что выплата пенсий бывшим военнослужащим производится по месту их жительства или по месту их пребывания в предела</w:t>
      </w:r>
      <w:r>
        <w:t>х территории Российской Федерации, основанием для определения и подтверждения которого признаются только документы о регистрации, выданные в установленном порядке органами регистрационного учета.</w:t>
      </w:r>
    </w:p>
    <w:p w:rsidR="00000000" w:rsidRDefault="006068E8">
      <w:bookmarkStart w:id="2" w:name="sub_2"/>
      <w:r>
        <w:t>2. Конституция Российской Федерации, гарантируя каждому</w:t>
      </w:r>
      <w:r>
        <w:t xml:space="preserve"> социальное обеспечение по возрасту, в случае болезни, инвалидности, потери кормильца, для воспитания детей и в иных случаях, установленных законом (</w:t>
      </w:r>
      <w:hyperlink r:id="rId30" w:history="1">
        <w:r>
          <w:rPr>
            <w:rStyle w:val="a4"/>
          </w:rPr>
          <w:t>статья 39, часть 1</w:t>
        </w:r>
      </w:hyperlink>
      <w:r>
        <w:t>), относит определение м</w:t>
      </w:r>
      <w:r>
        <w:t>еханизма реализации данного конституционного права к компетенции законодателя (</w:t>
      </w:r>
      <w:hyperlink r:id="rId31" w:history="1">
        <w:r>
          <w:rPr>
            <w:rStyle w:val="a4"/>
          </w:rPr>
          <w:t>статья 39, часть 2</w:t>
        </w:r>
      </w:hyperlink>
      <w:r>
        <w:t>).</w:t>
      </w:r>
    </w:p>
    <w:bookmarkEnd w:id="2"/>
    <w:p w:rsidR="00000000" w:rsidRDefault="006068E8">
      <w:r>
        <w:t>Федеральный законодатель, реализуя соответствующие дискреционные полномочия и закрепля</w:t>
      </w:r>
      <w:r>
        <w:t xml:space="preserve">я в федеральном законе виды и правовые основания назначения пенсий, их размеры, порядок исчисления и выплаты, вправе определять как общие правила пенсионного обеспечения, </w:t>
      </w:r>
      <w:r>
        <w:lastRenderedPageBreak/>
        <w:t xml:space="preserve">так и его особенности применительно к отдельным категориям граждан. Вместе с тем при </w:t>
      </w:r>
      <w:r>
        <w:t>осуществлении указанного правового регулирования он связан требованиями Конституции Российской Федерации, устанавливающей в том числе, что все равны перед законом и судом, а государство обязано гарантировать каждому равенство прав и свобод независимо от ме</w:t>
      </w:r>
      <w:r>
        <w:t>ста жительства (</w:t>
      </w:r>
      <w:hyperlink r:id="rId32" w:history="1">
        <w:r>
          <w:rPr>
            <w:rStyle w:val="a4"/>
          </w:rPr>
          <w:t>статья 19, части 1</w:t>
        </w:r>
      </w:hyperlink>
      <w:r>
        <w:t xml:space="preserve"> и </w:t>
      </w:r>
      <w:hyperlink r:id="rId33" w:history="1">
        <w:r>
          <w:rPr>
            <w:rStyle w:val="a4"/>
          </w:rPr>
          <w:t>2</w:t>
        </w:r>
      </w:hyperlink>
      <w:r>
        <w:t>) и что права и свободы человека и гражданина могут быть ограничены федеральным законом только соразмерно конституционно значимым целям (</w:t>
      </w:r>
      <w:hyperlink r:id="rId34" w:history="1">
        <w:r>
          <w:rPr>
            <w:rStyle w:val="a4"/>
          </w:rPr>
          <w:t>статья 55, часть 3</w:t>
        </w:r>
      </w:hyperlink>
      <w:r>
        <w:t>).</w:t>
      </w:r>
    </w:p>
    <w:p w:rsidR="00000000" w:rsidRDefault="006068E8">
      <w:r>
        <w:t>Лицам, проходившим военную службу</w:t>
      </w:r>
      <w:r>
        <w:t xml:space="preserve">, пенсии назначаются и выплачиваются в соответствии с </w:t>
      </w:r>
      <w:hyperlink r:id="rId35" w:history="1">
        <w:r>
          <w:rPr>
            <w:rStyle w:val="a4"/>
          </w:rPr>
          <w:t>Законом</w:t>
        </w:r>
      </w:hyperlink>
      <w:r>
        <w:t xml:space="preserve"> Российской Федерации "О пенсионном обеспечении лиц, проходивших военную службу, службу в органах внутренних дел, Государственной противоп</w:t>
      </w:r>
      <w:r>
        <w:t>ожарной службе, органах по контролю за оборотом наркотических средств и психотропных веществ, учреждениях и органах уголовно-исполнительной системы, и их семей", который предусматривает правовые основания назначения пенсий, а также общий порядок их выплаты</w:t>
      </w:r>
      <w:r>
        <w:t>.</w:t>
      </w:r>
    </w:p>
    <w:p w:rsidR="00000000" w:rsidRDefault="006068E8">
      <w:r>
        <w:t>Обязательность своевременного и полного перечисления необходимых для этого денежных средств требует конкретного и контролируемого механизма расходования бюджетных средств, который учитывал бы специфику регулирования пенсионного обеспечения соответствующи</w:t>
      </w:r>
      <w:r>
        <w:t>х категорий граждан в процессе перечисления бюджетных средств, предназначенных для этих целей (</w:t>
      </w:r>
      <w:hyperlink r:id="rId36" w:history="1">
        <w:r>
          <w:rPr>
            <w:rStyle w:val="a4"/>
          </w:rPr>
          <w:t>Определение</w:t>
        </w:r>
      </w:hyperlink>
      <w:r>
        <w:t xml:space="preserve"> Конституционного Суда Российской Федерации от 15 января 2008 года N 243-О-О). Исходя из </w:t>
      </w:r>
      <w:r>
        <w:t>этого общий порядок выплаты предусмотренных названным Законом пенсий, установленный его статьей 56, предполагает их выплату по месту жительства или месту пребывания пенсионеров в пределах территории Российской Федерации (</w:t>
      </w:r>
      <w:hyperlink r:id="rId37" w:history="1">
        <w:r>
          <w:rPr>
            <w:rStyle w:val="a4"/>
          </w:rPr>
          <w:t>часть первая</w:t>
        </w:r>
      </w:hyperlink>
      <w:r>
        <w:t xml:space="preserve">), а при переезде пенсионера - выплату и доставку пенсии по его новому месту жительства или месту пребывания в пределах территории Российской Федерации на основании пенсионного дела и документов о регистрации, выданных </w:t>
      </w:r>
      <w:r>
        <w:t>в установленном порядке органами регистрационного учета (</w:t>
      </w:r>
      <w:hyperlink r:id="rId38" w:history="1">
        <w:r>
          <w:rPr>
            <w:rStyle w:val="a4"/>
          </w:rPr>
          <w:t>часть седьмая</w:t>
        </w:r>
      </w:hyperlink>
      <w:r>
        <w:t>).</w:t>
      </w:r>
    </w:p>
    <w:p w:rsidR="00000000" w:rsidRDefault="006068E8">
      <w:bookmarkStart w:id="3" w:name="sub_3"/>
      <w:r>
        <w:t>3. Согласно статье 27 (</w:t>
      </w:r>
      <w:hyperlink r:id="rId39" w:history="1">
        <w:r>
          <w:rPr>
            <w:rStyle w:val="a4"/>
          </w:rPr>
          <w:t>часть 1</w:t>
        </w:r>
      </w:hyperlink>
      <w:r>
        <w:t>) Конституции Российско</w:t>
      </w:r>
      <w:r>
        <w:t xml:space="preserve">й Федерации каждый, кто законно находится на территории Российской Федерации, имеет право свободно передвигаться, выбирать место пребывания и жительства. Свобода выбора места жительства провозглашена также Международным пактом о гражданских и политических </w:t>
      </w:r>
      <w:r>
        <w:t>правах (</w:t>
      </w:r>
      <w:hyperlink r:id="rId40" w:history="1">
        <w:r>
          <w:rPr>
            <w:rStyle w:val="a4"/>
          </w:rPr>
          <w:t>статья 12</w:t>
        </w:r>
      </w:hyperlink>
      <w:r>
        <w:t>) и Конвенцией о защите прав человека и основных свобод (</w:t>
      </w:r>
      <w:hyperlink r:id="rId41" w:history="1">
        <w:r>
          <w:rPr>
            <w:rStyle w:val="a4"/>
          </w:rPr>
          <w:t>статья 2</w:t>
        </w:r>
      </w:hyperlink>
      <w:r>
        <w:t xml:space="preserve"> Протокола N 4), которые в силу статьи 15 (</w:t>
      </w:r>
      <w:hyperlink r:id="rId42" w:history="1">
        <w:r>
          <w:rPr>
            <w:rStyle w:val="a4"/>
          </w:rPr>
          <w:t>часть 4</w:t>
        </w:r>
      </w:hyperlink>
      <w:r>
        <w:t>) Конституции Российской Федерации являются составной частью правовой системы Российской Федерации.</w:t>
      </w:r>
    </w:p>
    <w:bookmarkEnd w:id="3"/>
    <w:p w:rsidR="00000000" w:rsidRDefault="006068E8">
      <w:r>
        <w:t xml:space="preserve">Принятый для обеспечения осуществления данного права </w:t>
      </w:r>
      <w:hyperlink r:id="rId43" w:history="1">
        <w:r>
          <w:rPr>
            <w:rStyle w:val="a4"/>
          </w:rPr>
          <w:t>Закон</w:t>
        </w:r>
      </w:hyperlink>
      <w:r>
        <w:t xml:space="preserve"> Российской Федерации от 25 июня 1993 года N 5242-I "О праве граждан Российской Федерации на свободу передвижения, выбор места пребывания и жительства в пределах Российской Федерации" в целях создания необходимых условий дл</w:t>
      </w:r>
      <w:r>
        <w:t>я реализации гражданами прав и свобод, а также исполнения ими обязанностей перед другими гражданами, государством и обществом возложил на граждан Российской Федерации обязанность регистрироваться по месту пребывания и месту жительства в пределах Российской</w:t>
      </w:r>
      <w:r>
        <w:t xml:space="preserve"> Федерации в органах регистрационного учета. </w:t>
      </w:r>
      <w:hyperlink r:id="rId44" w:history="1">
        <w:r>
          <w:rPr>
            <w:rStyle w:val="a4"/>
          </w:rPr>
          <w:t>Правила</w:t>
        </w:r>
      </w:hyperlink>
      <w:r>
        <w:t xml:space="preserve"> регистрации и снятия граждан Российской Федерации с регистрационного учета по месту пребывания и по месту жительства в пределах Российской</w:t>
      </w:r>
      <w:r>
        <w:t xml:space="preserve"> Федерации утверждены </w:t>
      </w:r>
      <w:hyperlink r:id="rId45" w:history="1">
        <w:r>
          <w:rPr>
            <w:rStyle w:val="a4"/>
          </w:rPr>
          <w:t>постановлением</w:t>
        </w:r>
      </w:hyperlink>
      <w:r>
        <w:t xml:space="preserve"> Правительства Российской Федерации от 17 июля 1995 года N 713, принятым во исполнение предписания названного Закона.</w:t>
      </w:r>
    </w:p>
    <w:p w:rsidR="00000000" w:rsidRDefault="006068E8">
      <w:bookmarkStart w:id="4" w:name="sub_33"/>
      <w:r>
        <w:t>Вместе с тем, как неоднократно ука</w:t>
      </w:r>
      <w:r>
        <w:t xml:space="preserve">зывал Конституционный Суд Российской Федерации, факт регистрации или отсутствия таковой не порождает для гражданина каких-либо прав и обязанностей и, согласно </w:t>
      </w:r>
      <w:hyperlink r:id="rId46" w:history="1">
        <w:r>
          <w:rPr>
            <w:rStyle w:val="a4"/>
          </w:rPr>
          <w:t>части второй статьи 3</w:t>
        </w:r>
      </w:hyperlink>
      <w:r>
        <w:t xml:space="preserve"> Закона Росси</w:t>
      </w:r>
      <w:r>
        <w:t>йской Федерации "О праве граждан Российской Федерации на свободу передвижения, выбор места пребывания и жительства в пределах Российской Федерации", не может сам по себе служить основанием ограничения или условием реализации прав и свобод граждан, предусмо</w:t>
      </w:r>
      <w:r>
        <w:t xml:space="preserve">тренных </w:t>
      </w:r>
      <w:hyperlink r:id="rId47" w:history="1">
        <w:r>
          <w:rPr>
            <w:rStyle w:val="a4"/>
          </w:rPr>
          <w:t>Конституцией</w:t>
        </w:r>
      </w:hyperlink>
      <w:r>
        <w:t xml:space="preserve"> Российской Федерации, федеральными законами и законодательными актами субъектов Российской </w:t>
      </w:r>
      <w:r>
        <w:lastRenderedPageBreak/>
        <w:t>Федерации; регистрация граждан в том смысле, в каком это не противоречит Конституц</w:t>
      </w:r>
      <w:r>
        <w:t>ии Российской Федерации, является лишь предусмотренным федеральным законом способом их учета в пределах территории Российской Федерации, носящим уведомительный характер и отражающим факт нахождения гражданина по месту пребывания или жительства; при этом ко</w:t>
      </w:r>
      <w:r>
        <w:t xml:space="preserve">нкретное место жительства лица может быть установлено и судом общей юрисдикции на основе различных юридических фактов, не обязательно связанных с его регистрацией компетентными органами (постановления </w:t>
      </w:r>
      <w:hyperlink r:id="rId48" w:history="1">
        <w:r>
          <w:rPr>
            <w:rStyle w:val="a4"/>
          </w:rPr>
          <w:t>от 24 ноября 1995 года N 14-П</w:t>
        </w:r>
      </w:hyperlink>
      <w:r>
        <w:t xml:space="preserve">, </w:t>
      </w:r>
      <w:hyperlink r:id="rId49" w:history="1">
        <w:r>
          <w:rPr>
            <w:rStyle w:val="a4"/>
          </w:rPr>
          <w:t>от 4 апреля 1996 года N 9-П</w:t>
        </w:r>
      </w:hyperlink>
      <w:r>
        <w:t xml:space="preserve">, </w:t>
      </w:r>
      <w:hyperlink r:id="rId50" w:history="1">
        <w:r>
          <w:rPr>
            <w:rStyle w:val="a4"/>
          </w:rPr>
          <w:t>от 2 февраля 1998 года N 4-П</w:t>
        </w:r>
      </w:hyperlink>
      <w:r>
        <w:t xml:space="preserve">, определения </w:t>
      </w:r>
      <w:hyperlink r:id="rId51" w:history="1">
        <w:r>
          <w:rPr>
            <w:rStyle w:val="a4"/>
          </w:rPr>
          <w:t>от 13 июля 2000 года N 185-О</w:t>
        </w:r>
      </w:hyperlink>
      <w:r>
        <w:t xml:space="preserve">, </w:t>
      </w:r>
      <w:hyperlink r:id="rId52" w:history="1">
        <w:r>
          <w:rPr>
            <w:rStyle w:val="a4"/>
          </w:rPr>
          <w:t>от 5 октября 2000 года N 199-О</w:t>
        </w:r>
      </w:hyperlink>
      <w:r>
        <w:t xml:space="preserve">, </w:t>
      </w:r>
      <w:hyperlink r:id="rId53" w:history="1">
        <w:r>
          <w:rPr>
            <w:rStyle w:val="a4"/>
          </w:rPr>
          <w:t>от 6 октября 2008 года N 619-О-П</w:t>
        </w:r>
      </w:hyperlink>
      <w:r>
        <w:t xml:space="preserve">, </w:t>
      </w:r>
      <w:hyperlink r:id="rId54" w:history="1">
        <w:r>
          <w:rPr>
            <w:rStyle w:val="a4"/>
          </w:rPr>
          <w:t>от 13 октября 2009 года N 1309-О-О</w:t>
        </w:r>
      </w:hyperlink>
      <w:r>
        <w:t xml:space="preserve"> и др.).</w:t>
      </w:r>
    </w:p>
    <w:bookmarkEnd w:id="4"/>
    <w:p w:rsidR="00000000" w:rsidRDefault="006068E8">
      <w:r>
        <w:t>Соответственно, невыполнение гражданином Российской Федерации обязанности зарегистрироваться по месту жительства или месту пребывания в пределах</w:t>
      </w:r>
      <w:r>
        <w:t xml:space="preserve"> территории Российской Федерации в органах регистрационного учета не может служить основанием ограничения или условием реализации его конституционного права на социальное обеспечение, в том числе в процессе выплаты уже назначенной ему пенсии.</w:t>
      </w:r>
    </w:p>
    <w:p w:rsidR="00000000" w:rsidRDefault="006068E8">
      <w:bookmarkStart w:id="5" w:name="sub_4"/>
      <w:r>
        <w:t>4. По бу</w:t>
      </w:r>
      <w:r>
        <w:t xml:space="preserve">квальному смыслу положений </w:t>
      </w:r>
      <w:hyperlink r:id="rId55" w:history="1">
        <w:r>
          <w:rPr>
            <w:rStyle w:val="a4"/>
          </w:rPr>
          <w:t>статьи 56</w:t>
        </w:r>
      </w:hyperlink>
      <w:r>
        <w:t xml:space="preserve"> Закона Российской Федерации "О пенсионном обеспечении лиц, проходивших военную службу, службу в органах внутренних дел, Государственной противопожарной службе, о</w:t>
      </w:r>
      <w:r>
        <w:t>рганах по контролю за оборотом наркотических средств и психотропных веществ, учреждениях и органах уголовно-исполнительной системы, и их семей" и по смыслу, придаваемому им органами, осуществляющими пенсионное обеспечение лиц, проходивших военную службу, а</w:t>
      </w:r>
      <w:r>
        <w:t xml:space="preserve"> также судами общей юрисдикции (что подтверждается и правоприменительными решениями, в том числе судебными, принятыми по делу гражданина В.Т. Казанцева), выплата предусмотренных данным Законом пенсий допускается лишь при наличии у пенсионера документов о р</w:t>
      </w:r>
      <w:r>
        <w:t>егистрации по месту жительства или месту пребывания, выданных в установленном порядке органами регистрационного учета, и, как следствие, исключается выплата пенсии по месту фактического проживания лицам, не имеющим регистрации по месту жительства или месту</w:t>
      </w:r>
      <w:r>
        <w:t xml:space="preserve"> пребывания в пределах территории Российской Федерации.</w:t>
      </w:r>
    </w:p>
    <w:bookmarkEnd w:id="5"/>
    <w:p w:rsidR="00000000" w:rsidRDefault="006068E8">
      <w:r>
        <w:t xml:space="preserve">Все другие нормативные правовые акты, действующие в сфере пенсионного обеспечения лиц, проходивших военную службу и имеющих право на получение пенсий в соответствии с названным Законом, также не </w:t>
      </w:r>
      <w:r>
        <w:t>предусматривают возможность подтверждения места их фактического проживания при отсутствии регистрации по месту жительства или месту пребывания в пределах территории Российской Федерации.</w:t>
      </w:r>
    </w:p>
    <w:p w:rsidR="00000000" w:rsidRDefault="006068E8">
      <w:r>
        <w:t>В то же время такая возможность предусмотрена для лиц, получающих тру</w:t>
      </w:r>
      <w:r>
        <w:t>довые пенсии и пенсии по государственному пенсионному обеспечению: место их фактического проживания при отсутствии подтвержденного регистрацией места жительства или места пребывания на территории Российской Федерации определяется на основании их личного за</w:t>
      </w:r>
      <w:r>
        <w:t>явления (</w:t>
      </w:r>
      <w:hyperlink r:id="rId56" w:history="1">
        <w:r>
          <w:rPr>
            <w:rStyle w:val="a4"/>
          </w:rPr>
          <w:t>абзац седьмой пункта 15</w:t>
        </w:r>
      </w:hyperlink>
      <w:r>
        <w:t xml:space="preserve"> Перечня документов, необходимых для установления трудовой пенсии и пенсии по государственному пенсионному обеспечению в соответствии с федеральными законами "</w:t>
      </w:r>
      <w:r>
        <w:t xml:space="preserve">О трудовых пенсиях в Российской Федерации" и "О государственном пенсионном обеспечении в Российской Федерации", утвержденного </w:t>
      </w:r>
      <w:hyperlink r:id="rId57" w:history="1">
        <w:r>
          <w:rPr>
            <w:rStyle w:val="a4"/>
          </w:rPr>
          <w:t>постановлением</w:t>
        </w:r>
      </w:hyperlink>
      <w:r>
        <w:t xml:space="preserve"> Министерства труда и социального развития Российской </w:t>
      </w:r>
      <w:r>
        <w:t xml:space="preserve">Федерации и Пенсионного фонда Российской Федерации от 27 февраля 2002 года N 16/19па; </w:t>
      </w:r>
      <w:hyperlink r:id="rId58" w:history="1">
        <w:r>
          <w:rPr>
            <w:rStyle w:val="a4"/>
          </w:rPr>
          <w:t>абзац третий пункта 6</w:t>
        </w:r>
      </w:hyperlink>
      <w:r>
        <w:t xml:space="preserve"> Правил обращения за пенсией, назначения пенсии и перерасчета размера пенсии, переход</w:t>
      </w:r>
      <w:r>
        <w:t xml:space="preserve">а с одной пенсии на другую в соответствии с федеральными законами "О трудовых пенсиях в Российской Федерации" и "О государственном пенсионном обеспечении в Российской Федерации", утвержденных </w:t>
      </w:r>
      <w:hyperlink r:id="rId59" w:history="1">
        <w:r>
          <w:rPr>
            <w:rStyle w:val="a4"/>
          </w:rPr>
          <w:t>поста</w:t>
        </w:r>
        <w:r>
          <w:rPr>
            <w:rStyle w:val="a4"/>
          </w:rPr>
          <w:t>новлением</w:t>
        </w:r>
      </w:hyperlink>
      <w:r>
        <w:t xml:space="preserve"> Министерства труда и социального развития Российской Федерации и Пенсионного фонда Российской Федерации от 27 февраля 2002 года N 17/19пб).</w:t>
      </w:r>
    </w:p>
    <w:p w:rsidR="00000000" w:rsidRDefault="006068E8">
      <w:r>
        <w:t>Следовательно, в отношениях по выплате пенсии лицам, не имеющим регистрации по месту жительства или мес</w:t>
      </w:r>
      <w:r>
        <w:t xml:space="preserve">ту пребывания в пределах территории Российской Федерации, пенсионеры из числа лиц, проходивших военную службу, пенсия которым назначена в соответствии с </w:t>
      </w:r>
      <w:hyperlink r:id="rId60" w:history="1">
        <w:r>
          <w:rPr>
            <w:rStyle w:val="a4"/>
          </w:rPr>
          <w:t>Законом</w:t>
        </w:r>
      </w:hyperlink>
      <w:r>
        <w:t xml:space="preserve"> Российской Федерации "О пенсионном обе</w:t>
      </w:r>
      <w:r>
        <w:t xml:space="preserve">спечении лиц, проходивших военную службу, службу в </w:t>
      </w:r>
      <w:r>
        <w:lastRenderedPageBreak/>
        <w:t>органах внутренних дел, Государственной противопожарной службе, органах по контролю за оборотом наркотических средств и психотропных веществ, учреждениях и органах уголовно-исполнительной системы, и их сем</w:t>
      </w:r>
      <w:r>
        <w:t xml:space="preserve">ей", оказываются в неравном положении по сравнению с лицами, получающими трудовые пенсии и пенсии по государственному пенсионному обеспечению в соответствии с Федеральными законами </w:t>
      </w:r>
      <w:hyperlink r:id="rId61" w:history="1">
        <w:r>
          <w:rPr>
            <w:rStyle w:val="a4"/>
          </w:rPr>
          <w:t>от 17 декабря 20</w:t>
        </w:r>
        <w:r>
          <w:rPr>
            <w:rStyle w:val="a4"/>
          </w:rPr>
          <w:t>01 года N 173-ФЗ</w:t>
        </w:r>
      </w:hyperlink>
      <w:r>
        <w:t xml:space="preserve"> "О трудовых пенсиях в Российской Федерации" и </w:t>
      </w:r>
      <w:hyperlink r:id="rId62" w:history="1">
        <w:r>
          <w:rPr>
            <w:rStyle w:val="a4"/>
          </w:rPr>
          <w:t>от 15 декабря 2001 года N 166-ФЗ</w:t>
        </w:r>
      </w:hyperlink>
      <w:r>
        <w:t xml:space="preserve"> "О государственном пенсионном обеспечении в Российской Федерации".</w:t>
      </w:r>
    </w:p>
    <w:p w:rsidR="00000000" w:rsidRDefault="006068E8">
      <w:r>
        <w:t>Между тем все эти пенсионеры</w:t>
      </w:r>
      <w:r>
        <w:t xml:space="preserve"> относятся к одной категории - лиц, имеющих право на получение гарантированной государством пенсии, и отсутствие регистрации по месту жительства или месту пребывания в пределах территории Российской Федерации не может служить основанием введения различий в</w:t>
      </w:r>
      <w:r>
        <w:t xml:space="preserve"> условиях реализации ими конституционного права на социальное обеспечение, - иное означает установление в отношении этих лиц необоснованной, не имеющей разумного оправдания дифференциации порядка выплаты пенсий.</w:t>
      </w:r>
    </w:p>
    <w:p w:rsidR="00000000" w:rsidRDefault="006068E8">
      <w:r>
        <w:t xml:space="preserve">Таким образом, взаимосвязанными положениями </w:t>
      </w:r>
      <w:hyperlink r:id="rId63" w:history="1">
        <w:r>
          <w:rPr>
            <w:rStyle w:val="a4"/>
          </w:rPr>
          <w:t>статьи 56</w:t>
        </w:r>
      </w:hyperlink>
      <w:r>
        <w:t xml:space="preserve"> Закона Российской Федерации "О пенсионном обеспечении лиц, проходивших военную службу, службу в органах внутренних дел, Государственной противопожарной службе, органах по контролю за оборо</w:t>
      </w:r>
      <w:r>
        <w:t>том наркотических средств и психотропных веществ, учреждениях и органах уголовно-исполнительной системы, и их семей" - в части, предусматривающей, что выплата бывшим военнослужащим пенсий, на которые они имеют право в соответствии с данным Законом, произво</w:t>
      </w:r>
      <w:r>
        <w:t>дится по месту жительства или по месту пребывания пенсионера в пределах территории Российской Федерации, основанием для определения и подтверждения которого признаются только документы о регистрации, выданные в установленном порядке органами регистрационно</w:t>
      </w:r>
      <w:r>
        <w:t>го учета, - ограничивается право указанных лиц на социальное обеспечение, гарантированное им статьей 39 (</w:t>
      </w:r>
      <w:hyperlink r:id="rId64" w:history="1">
        <w:r>
          <w:rPr>
            <w:rStyle w:val="a4"/>
          </w:rPr>
          <w:t>часть 1</w:t>
        </w:r>
      </w:hyperlink>
      <w:r>
        <w:t>) Конституции Российской Федерации, в нарушение принципа равенства, закрепленно</w:t>
      </w:r>
      <w:r>
        <w:t>го ее статьей 19 (</w:t>
      </w:r>
      <w:hyperlink r:id="rId65" w:history="1">
        <w:r>
          <w:rPr>
            <w:rStyle w:val="a4"/>
          </w:rPr>
          <w:t>части 1</w:t>
        </w:r>
      </w:hyperlink>
      <w:r>
        <w:t xml:space="preserve"> и </w:t>
      </w:r>
      <w:hyperlink r:id="rId66" w:history="1">
        <w:r>
          <w:rPr>
            <w:rStyle w:val="a4"/>
          </w:rPr>
          <w:t>2</w:t>
        </w:r>
      </w:hyperlink>
      <w:r>
        <w:t>), и вопреки предписаниям ее статьи 55 (</w:t>
      </w:r>
      <w:hyperlink r:id="rId67" w:history="1">
        <w:r>
          <w:rPr>
            <w:rStyle w:val="a4"/>
          </w:rPr>
          <w:t>часть 3</w:t>
        </w:r>
      </w:hyperlink>
      <w:r>
        <w:t>), допускающей ограничение федеральным законом прав и свобод человека и гражданина лишь в конституционно значимых целях.</w:t>
      </w:r>
    </w:p>
    <w:p w:rsidR="00000000" w:rsidRDefault="006068E8">
      <w:bookmarkStart w:id="6" w:name="sub_1111"/>
      <w:r>
        <w:t xml:space="preserve">Исходя из изложенного и руководствуясь </w:t>
      </w:r>
      <w:hyperlink r:id="rId68" w:history="1">
        <w:r>
          <w:rPr>
            <w:rStyle w:val="a4"/>
          </w:rPr>
          <w:t>частью второй статьи 71</w:t>
        </w:r>
      </w:hyperlink>
      <w:r>
        <w:t xml:space="preserve">, </w:t>
      </w:r>
      <w:hyperlink r:id="rId69" w:history="1">
        <w:r>
          <w:rPr>
            <w:rStyle w:val="a4"/>
          </w:rPr>
          <w:t>статьями 72</w:t>
        </w:r>
      </w:hyperlink>
      <w:r>
        <w:t xml:space="preserve">, </w:t>
      </w:r>
      <w:hyperlink r:id="rId70" w:history="1">
        <w:r>
          <w:rPr>
            <w:rStyle w:val="a4"/>
          </w:rPr>
          <w:t>74</w:t>
        </w:r>
      </w:hyperlink>
      <w:r>
        <w:t xml:space="preserve">, </w:t>
      </w:r>
      <w:hyperlink r:id="rId71" w:history="1">
        <w:r>
          <w:rPr>
            <w:rStyle w:val="a4"/>
          </w:rPr>
          <w:t>75</w:t>
        </w:r>
      </w:hyperlink>
      <w:r>
        <w:t xml:space="preserve">, </w:t>
      </w:r>
      <w:hyperlink r:id="rId72" w:history="1">
        <w:r>
          <w:rPr>
            <w:rStyle w:val="a4"/>
          </w:rPr>
          <w:t>79</w:t>
        </w:r>
      </w:hyperlink>
      <w:r>
        <w:t xml:space="preserve">, </w:t>
      </w:r>
      <w:hyperlink r:id="rId73" w:history="1">
        <w:r>
          <w:rPr>
            <w:rStyle w:val="a4"/>
          </w:rPr>
          <w:t>80</w:t>
        </w:r>
      </w:hyperlink>
      <w:r>
        <w:t xml:space="preserve"> и </w:t>
      </w:r>
      <w:hyperlink r:id="rId74" w:history="1">
        <w:r>
          <w:rPr>
            <w:rStyle w:val="a4"/>
          </w:rPr>
          <w:t>100</w:t>
        </w:r>
      </w:hyperlink>
      <w:r>
        <w:t xml:space="preserve"> Федерально</w:t>
      </w:r>
      <w:r>
        <w:t>го конституционного закона "О Конституционном Суде Российской Федерации", Конституционный Суд Российской Федерации постановил:</w:t>
      </w:r>
    </w:p>
    <w:p w:rsidR="00000000" w:rsidRDefault="006068E8">
      <w:bookmarkStart w:id="7" w:name="sub_11"/>
      <w:bookmarkEnd w:id="6"/>
      <w:r>
        <w:t xml:space="preserve">1. Признать взаимосвязанные положения </w:t>
      </w:r>
      <w:hyperlink r:id="rId75" w:history="1">
        <w:r>
          <w:rPr>
            <w:rStyle w:val="a4"/>
          </w:rPr>
          <w:t>статьи 56</w:t>
        </w:r>
      </w:hyperlink>
      <w:r>
        <w:t xml:space="preserve"> Закона Ро</w:t>
      </w:r>
      <w:r>
        <w:t>ссийской Федерации "О пенсионном обеспечении лиц, проходивших военную службу, службу в органах внутренних дел, Государственной противопожарной службе, органах по контролю за оборотом наркотических средств и психотропных веществ, учреждениях и органах уголо</w:t>
      </w:r>
      <w:r>
        <w:t>вно-исполнительной системы, и их семей" не соответствующими Конституции Российской Федерации, ее статьям 19 (</w:t>
      </w:r>
      <w:hyperlink r:id="rId76" w:history="1">
        <w:r>
          <w:rPr>
            <w:rStyle w:val="a4"/>
          </w:rPr>
          <w:t>части 1</w:t>
        </w:r>
      </w:hyperlink>
      <w:r>
        <w:t xml:space="preserve"> и </w:t>
      </w:r>
      <w:hyperlink r:id="rId77" w:history="1">
        <w:r>
          <w:rPr>
            <w:rStyle w:val="a4"/>
          </w:rPr>
          <w:t>2</w:t>
        </w:r>
      </w:hyperlink>
      <w:r>
        <w:t>), 39 (</w:t>
      </w:r>
      <w:hyperlink r:id="rId78" w:history="1">
        <w:r>
          <w:rPr>
            <w:rStyle w:val="a4"/>
          </w:rPr>
          <w:t>часть 1</w:t>
        </w:r>
      </w:hyperlink>
      <w:r>
        <w:t>) и 55 (</w:t>
      </w:r>
      <w:hyperlink r:id="rId79" w:history="1">
        <w:r>
          <w:rPr>
            <w:rStyle w:val="a4"/>
          </w:rPr>
          <w:t>часть 3</w:t>
        </w:r>
      </w:hyperlink>
      <w:r>
        <w:t>), в той части, в какой они предусматривают выплату бывшим военнослужащим пенсий, на которые они имеют пр</w:t>
      </w:r>
      <w:r>
        <w:t>аво в соответствии с данным Законом, по месту жительства или по месту пребывания пенсионера в пределах территории Российской Федерации, основанием для определения и подтверждения которого признаются только документы о регистрации по месту жительства или ме</w:t>
      </w:r>
      <w:r>
        <w:t>сту пребывания, выданные в установленном порядке органами регистрационного учета.</w:t>
      </w:r>
    </w:p>
    <w:p w:rsidR="00000000" w:rsidRDefault="006068E8">
      <w:bookmarkStart w:id="8" w:name="sub_12"/>
      <w:bookmarkEnd w:id="7"/>
      <w:r>
        <w:t xml:space="preserve">2. Федеральному законодателю надлежит, руководствуясь </w:t>
      </w:r>
      <w:hyperlink r:id="rId80" w:history="1">
        <w:r>
          <w:rPr>
            <w:rStyle w:val="a4"/>
          </w:rPr>
          <w:t>Конституцией</w:t>
        </w:r>
      </w:hyperlink>
      <w:r>
        <w:t xml:space="preserve"> Российской Федерации и настоящим </w:t>
      </w:r>
      <w:r>
        <w:t>Постановлением, внести в Закон Российской Федерации "О пенсионном обеспечении лиц, проходивших военную службу, службу в органах внутренних дел, Государственной противопожарной службе, органах по контролю за оборотом наркотических средств и психотропных вещ</w:t>
      </w:r>
      <w:r>
        <w:t xml:space="preserve">еств, учреждениях и органах уголовно-исполнительной системы, и их семей" изменения, обусловленные признанием взаимосвязанных положений его </w:t>
      </w:r>
      <w:hyperlink r:id="rId81" w:history="1">
        <w:r>
          <w:rPr>
            <w:rStyle w:val="a4"/>
          </w:rPr>
          <w:t>статьи 56</w:t>
        </w:r>
      </w:hyperlink>
      <w:r>
        <w:t xml:space="preserve"> не соответствующими Конституции Российской Федера</w:t>
      </w:r>
      <w:r>
        <w:t>ции.</w:t>
      </w:r>
    </w:p>
    <w:bookmarkEnd w:id="8"/>
    <w:p w:rsidR="00000000" w:rsidRDefault="006068E8">
      <w:r>
        <w:t xml:space="preserve">Впредь до внесения в </w:t>
      </w:r>
      <w:hyperlink r:id="rId82" w:history="1">
        <w:r>
          <w:rPr>
            <w:rStyle w:val="a4"/>
          </w:rPr>
          <w:t>Закон</w:t>
        </w:r>
      </w:hyperlink>
      <w:r>
        <w:t xml:space="preserve"> Российской Федерации "О пенсионном обеспечении лиц, проходивших военную службу, службу в органах внутренних дел, Государственной противопожарной службе, органах </w:t>
      </w:r>
      <w:r>
        <w:t xml:space="preserve">по контролю за оборотом наркотических средств и </w:t>
      </w:r>
      <w:r>
        <w:lastRenderedPageBreak/>
        <w:t>психотропных веществ, учреждениях и органах уголовно-исполнительной системы, и их семей" необходимых изменений выплата назначенных в соответствии с этим Законом пенсий лицам, проходившим военную службу и не и</w:t>
      </w:r>
      <w:r>
        <w:t>меющим регистрации по месту жительства или месту пребывания в пределах территории Российской Федерации, должна осуществляться по месту их фактического проживания, которое устанавливается на основании их личного заявления, как это предусмотрено для получате</w:t>
      </w:r>
      <w:r>
        <w:t>лей трудовых пенсий и пенсий по государственному пенсионному обеспечению.</w:t>
      </w:r>
    </w:p>
    <w:p w:rsidR="00000000" w:rsidRDefault="006068E8">
      <w:bookmarkStart w:id="9" w:name="sub_13"/>
      <w:r>
        <w:t xml:space="preserve">3. Правоприменительные решения, принятые в отношении гражданина Казанцева Валерия Тарасовича на основании </w:t>
      </w:r>
      <w:hyperlink r:id="rId83" w:history="1">
        <w:r>
          <w:rPr>
            <w:rStyle w:val="a4"/>
          </w:rPr>
          <w:t>статьи 56</w:t>
        </w:r>
      </w:hyperlink>
      <w:r>
        <w:t xml:space="preserve"> За</w:t>
      </w:r>
      <w:r>
        <w:t>кона Российской Федерации "О пенсионном обеспечении лиц, проходивших военную службу, службу в органах внутренних дел, Государственной противопожарной службе, органах по контролю за оборотом наркотических средств и психотропных веществ, учреждениях и органа</w:t>
      </w:r>
      <w:r>
        <w:t>х уголовно-исполнительной системы, и их семей", подлежат пересмотру в установленном порядке, если для этого нет иных препятствий.</w:t>
      </w:r>
    </w:p>
    <w:p w:rsidR="00000000" w:rsidRDefault="006068E8">
      <w:bookmarkStart w:id="10" w:name="sub_14"/>
      <w:bookmarkEnd w:id="9"/>
      <w:r>
        <w:t>4. Настоящее Постановление окончательно, не подлежит обжалованию, вступает в силу немедленно после провозглашения,</w:t>
      </w:r>
      <w:r>
        <w:t xml:space="preserve"> действует непосредственно и не требует подтверждения другими органами и должностными лицами.</w:t>
      </w:r>
    </w:p>
    <w:p w:rsidR="00000000" w:rsidRDefault="006068E8">
      <w:bookmarkStart w:id="11" w:name="sub_15"/>
      <w:bookmarkEnd w:id="10"/>
      <w:r>
        <w:t xml:space="preserve">5. Согласно </w:t>
      </w:r>
      <w:hyperlink r:id="rId84" w:history="1">
        <w:r>
          <w:rPr>
            <w:rStyle w:val="a4"/>
          </w:rPr>
          <w:t>статье 78</w:t>
        </w:r>
      </w:hyperlink>
      <w:r>
        <w:t xml:space="preserve"> Федерального конституционного закона "О Конституционном Суде Росс</w:t>
      </w:r>
      <w:r>
        <w:t xml:space="preserve">ийской Федерации" настоящее Постановление подлежит незамедлительному </w:t>
      </w:r>
      <w:hyperlink r:id="rId85" w:history="1">
        <w:r>
          <w:rPr>
            <w:rStyle w:val="a4"/>
          </w:rPr>
          <w:t>опубликованию</w:t>
        </w:r>
      </w:hyperlink>
      <w:r>
        <w:t xml:space="preserve"> в "Российской газете" и "Собрании законодательства Российской Федерации". Постановление должно быть опубликован</w:t>
      </w:r>
      <w:r>
        <w:t>о также в "Вестнике Конституционного Суда Российской Федерации".</w:t>
      </w:r>
    </w:p>
    <w:bookmarkEnd w:id="11"/>
    <w:p w:rsidR="00000000" w:rsidRDefault="006068E8"/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6867"/>
        <w:gridCol w:w="3432"/>
      </w:tblGrid>
      <w:tr w:rsidR="00000000" w:rsidRPr="006068E8">
        <w:tblPrEx>
          <w:tblCellMar>
            <w:top w:w="0" w:type="dxa"/>
            <w:bottom w:w="0" w:type="dxa"/>
          </w:tblCellMar>
        </w:tblPrEx>
        <w:tc>
          <w:tcPr>
            <w:tcW w:w="6867" w:type="dxa"/>
            <w:tcBorders>
              <w:top w:val="nil"/>
              <w:left w:val="nil"/>
              <w:bottom w:val="nil"/>
              <w:right w:val="nil"/>
            </w:tcBorders>
          </w:tcPr>
          <w:p w:rsidR="00000000" w:rsidRPr="006068E8" w:rsidRDefault="006068E8">
            <w:pPr>
              <w:pStyle w:val="a6"/>
            </w:pPr>
            <w:r w:rsidRPr="006068E8">
              <w:t>Конституционный Суд</w:t>
            </w:r>
            <w:r w:rsidRPr="006068E8">
              <w:br/>
              <w:t>Российской Федерации</w:t>
            </w:r>
          </w:p>
        </w:tc>
        <w:tc>
          <w:tcPr>
            <w:tcW w:w="3432" w:type="dxa"/>
            <w:tcBorders>
              <w:top w:val="nil"/>
              <w:left w:val="nil"/>
              <w:bottom w:val="nil"/>
              <w:right w:val="nil"/>
            </w:tcBorders>
          </w:tcPr>
          <w:p w:rsidR="00000000" w:rsidRPr="006068E8" w:rsidRDefault="006068E8">
            <w:pPr>
              <w:pStyle w:val="a5"/>
              <w:jc w:val="right"/>
            </w:pPr>
            <w:r w:rsidRPr="006068E8">
              <w:t>N 11-П</w:t>
            </w:r>
          </w:p>
        </w:tc>
      </w:tr>
    </w:tbl>
    <w:p w:rsidR="006068E8" w:rsidRDefault="006068E8"/>
    <w:sectPr w:rsidR="006068E8">
      <w:pgSz w:w="11900" w:h="16800"/>
      <w:pgMar w:top="1440" w:right="800" w:bottom="1440" w:left="8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3489B"/>
    <w:rsid w:val="006068E8"/>
    <w:rsid w:val="00E34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40774C47-1E5C-4AB2-9054-67EF3D681C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Pr>
      <w:b/>
      <w:bCs/>
      <w:color w:val="26282F"/>
    </w:rPr>
  </w:style>
  <w:style w:type="character" w:customStyle="1" w:styleId="a4">
    <w:name w:val="Гипертекстовая ссылка"/>
    <w:uiPriority w:val="99"/>
    <w:rPr>
      <w:b w:val="0"/>
      <w:bCs w:val="0"/>
      <w:color w:val="106BBE"/>
    </w:rPr>
  </w:style>
  <w:style w:type="character" w:customStyle="1" w:styleId="10">
    <w:name w:val="Заголовок 1 Знак"/>
    <w:link w:val="1"/>
    <w:uiPriority w:val="9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customStyle="1" w:styleId="a5">
    <w:name w:val="Нормальный (таблица)"/>
    <w:basedOn w:val="a"/>
    <w:next w:val="a"/>
    <w:uiPriority w:val="99"/>
    <w:pPr>
      <w:ind w:firstLine="0"/>
    </w:pPr>
  </w:style>
  <w:style w:type="paragraph" w:customStyle="1" w:styleId="a6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7">
    <w:name w:val="Цветовое выделение для Текст"/>
    <w:uiPriority w:val="99"/>
    <w:rPr>
      <w:rFonts w:ascii="Times New Roman CYR" w:hAnsi="Times New Roman CYR" w:cs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ivo.garant.ru/document?id=10001207&amp;sub=96" TargetMode="External"/><Relationship Id="rId18" Type="http://schemas.openxmlformats.org/officeDocument/2006/relationships/hyperlink" Target="http://ivo.garant.ru/document?id=257&amp;sub=56" TargetMode="External"/><Relationship Id="rId26" Type="http://schemas.openxmlformats.org/officeDocument/2006/relationships/hyperlink" Target="http://ivo.garant.ru/document?id=10001207&amp;sub=74" TargetMode="External"/><Relationship Id="rId39" Type="http://schemas.openxmlformats.org/officeDocument/2006/relationships/hyperlink" Target="http://ivo.garant.ru/document?id=10003000&amp;sub=2701" TargetMode="External"/><Relationship Id="rId21" Type="http://schemas.openxmlformats.org/officeDocument/2006/relationships/hyperlink" Target="http://ivo.garant.ru/document?id=10003000&amp;sub=191" TargetMode="External"/><Relationship Id="rId34" Type="http://schemas.openxmlformats.org/officeDocument/2006/relationships/hyperlink" Target="http://ivo.garant.ru/document?id=10003000&amp;sub=5503" TargetMode="External"/><Relationship Id="rId42" Type="http://schemas.openxmlformats.org/officeDocument/2006/relationships/hyperlink" Target="http://ivo.garant.ru/document?id=10003000&amp;sub=1504" TargetMode="External"/><Relationship Id="rId47" Type="http://schemas.openxmlformats.org/officeDocument/2006/relationships/hyperlink" Target="http://ivo.garant.ru/document?id=10003000&amp;sub=0" TargetMode="External"/><Relationship Id="rId50" Type="http://schemas.openxmlformats.org/officeDocument/2006/relationships/hyperlink" Target="http://ivo.garant.ru/document?id=12009460&amp;sub=0" TargetMode="External"/><Relationship Id="rId55" Type="http://schemas.openxmlformats.org/officeDocument/2006/relationships/hyperlink" Target="http://ivo.garant.ru/document?id=257&amp;sub=56" TargetMode="External"/><Relationship Id="rId63" Type="http://schemas.openxmlformats.org/officeDocument/2006/relationships/hyperlink" Target="http://ivo.garant.ru/document?id=257&amp;sub=56" TargetMode="External"/><Relationship Id="rId68" Type="http://schemas.openxmlformats.org/officeDocument/2006/relationships/hyperlink" Target="http://ivo.garant.ru/document?id=10001207&amp;sub=712" TargetMode="External"/><Relationship Id="rId76" Type="http://schemas.openxmlformats.org/officeDocument/2006/relationships/hyperlink" Target="http://ivo.garant.ru/document?id=10003000&amp;sub=191" TargetMode="External"/><Relationship Id="rId84" Type="http://schemas.openxmlformats.org/officeDocument/2006/relationships/hyperlink" Target="http://ivo.garant.ru/document?id=10001207&amp;sub=78" TargetMode="External"/><Relationship Id="rId7" Type="http://schemas.openxmlformats.org/officeDocument/2006/relationships/hyperlink" Target="http://ivo.garant.ru/document?id=10001207&amp;sub=3002" TargetMode="External"/><Relationship Id="rId71" Type="http://schemas.openxmlformats.org/officeDocument/2006/relationships/hyperlink" Target="http://ivo.garant.ru/document?id=10001207&amp;sub=75" TargetMode="External"/><Relationship Id="rId2" Type="http://schemas.openxmlformats.org/officeDocument/2006/relationships/styles" Target="styles.xml"/><Relationship Id="rId16" Type="http://schemas.openxmlformats.org/officeDocument/2006/relationships/hyperlink" Target="http://ivo.garant.ru/document?id=257&amp;sub=56" TargetMode="External"/><Relationship Id="rId29" Type="http://schemas.openxmlformats.org/officeDocument/2006/relationships/hyperlink" Target="http://ivo.garant.ru/document?id=257&amp;sub=56" TargetMode="External"/><Relationship Id="rId11" Type="http://schemas.openxmlformats.org/officeDocument/2006/relationships/hyperlink" Target="http://ivo.garant.ru/document?id=10001207&amp;sub=74" TargetMode="External"/><Relationship Id="rId24" Type="http://schemas.openxmlformats.org/officeDocument/2006/relationships/hyperlink" Target="http://ivo.garant.ru/document?id=10003000&amp;sub=3902" TargetMode="External"/><Relationship Id="rId32" Type="http://schemas.openxmlformats.org/officeDocument/2006/relationships/hyperlink" Target="http://ivo.garant.ru/document?id=10003000&amp;sub=191" TargetMode="External"/><Relationship Id="rId37" Type="http://schemas.openxmlformats.org/officeDocument/2006/relationships/hyperlink" Target="http://ivo.garant.ru/document?id=257&amp;sub=5601" TargetMode="External"/><Relationship Id="rId40" Type="http://schemas.openxmlformats.org/officeDocument/2006/relationships/hyperlink" Target="http://ivo.garant.ru/document?id=2440295&amp;sub=12" TargetMode="External"/><Relationship Id="rId45" Type="http://schemas.openxmlformats.org/officeDocument/2006/relationships/hyperlink" Target="http://ivo.garant.ru/document?id=10003761&amp;sub=0" TargetMode="External"/><Relationship Id="rId53" Type="http://schemas.openxmlformats.org/officeDocument/2006/relationships/hyperlink" Target="http://ivo.garant.ru/document?id=1689407&amp;sub=0" TargetMode="External"/><Relationship Id="rId58" Type="http://schemas.openxmlformats.org/officeDocument/2006/relationships/hyperlink" Target="http://ivo.garant.ru/document?id=12026962&amp;sub=603" TargetMode="External"/><Relationship Id="rId66" Type="http://schemas.openxmlformats.org/officeDocument/2006/relationships/hyperlink" Target="http://ivo.garant.ru/document?id=10003000&amp;sub=192" TargetMode="External"/><Relationship Id="rId74" Type="http://schemas.openxmlformats.org/officeDocument/2006/relationships/hyperlink" Target="http://ivo.garant.ru/document?id=10001207&amp;sub=100" TargetMode="External"/><Relationship Id="rId79" Type="http://schemas.openxmlformats.org/officeDocument/2006/relationships/hyperlink" Target="http://ivo.garant.ru/document?id=10003000&amp;sub=5503" TargetMode="External"/><Relationship Id="rId87" Type="http://schemas.openxmlformats.org/officeDocument/2006/relationships/theme" Target="theme/theme1.xml"/><Relationship Id="rId5" Type="http://schemas.openxmlformats.org/officeDocument/2006/relationships/hyperlink" Target="http://ivo.garant.ru/document?id=10003000&amp;sub=1254" TargetMode="External"/><Relationship Id="rId61" Type="http://schemas.openxmlformats.org/officeDocument/2006/relationships/hyperlink" Target="http://ivo.garant.ru/document?id=12025146&amp;sub=0" TargetMode="External"/><Relationship Id="rId82" Type="http://schemas.openxmlformats.org/officeDocument/2006/relationships/hyperlink" Target="http://ivo.garant.ru/document?id=257&amp;sub=0" TargetMode="External"/><Relationship Id="rId19" Type="http://schemas.openxmlformats.org/officeDocument/2006/relationships/hyperlink" Target="http://ivo.garant.ru/document?id=257&amp;sub=56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vo.garant.ru/document?id=10001207&amp;sub=211" TargetMode="External"/><Relationship Id="rId14" Type="http://schemas.openxmlformats.org/officeDocument/2006/relationships/hyperlink" Target="http://ivo.garant.ru/document?id=10001207&amp;sub=97" TargetMode="External"/><Relationship Id="rId22" Type="http://schemas.openxmlformats.org/officeDocument/2006/relationships/hyperlink" Target="http://ivo.garant.ru/document?id=10003000&amp;sub=192" TargetMode="External"/><Relationship Id="rId27" Type="http://schemas.openxmlformats.org/officeDocument/2006/relationships/hyperlink" Target="http://ivo.garant.ru/document?id=10001207&amp;sub=96" TargetMode="External"/><Relationship Id="rId30" Type="http://schemas.openxmlformats.org/officeDocument/2006/relationships/hyperlink" Target="http://ivo.garant.ru/document?id=10003000&amp;sub=3901" TargetMode="External"/><Relationship Id="rId35" Type="http://schemas.openxmlformats.org/officeDocument/2006/relationships/hyperlink" Target="http://ivo.garant.ru/document?id=257&amp;sub=0" TargetMode="External"/><Relationship Id="rId43" Type="http://schemas.openxmlformats.org/officeDocument/2006/relationships/hyperlink" Target="http://ivo.garant.ru/document?id=10002748&amp;sub=0" TargetMode="External"/><Relationship Id="rId48" Type="http://schemas.openxmlformats.org/officeDocument/2006/relationships/hyperlink" Target="http://ivo.garant.ru/document?id=12011604&amp;sub=0" TargetMode="External"/><Relationship Id="rId56" Type="http://schemas.openxmlformats.org/officeDocument/2006/relationships/hyperlink" Target="http://ivo.garant.ru/document?id=12026964&amp;sub=1507" TargetMode="External"/><Relationship Id="rId64" Type="http://schemas.openxmlformats.org/officeDocument/2006/relationships/hyperlink" Target="http://ivo.garant.ru/document?id=10003000&amp;sub=3901" TargetMode="External"/><Relationship Id="rId69" Type="http://schemas.openxmlformats.org/officeDocument/2006/relationships/hyperlink" Target="http://ivo.garant.ru/document?id=10001207&amp;sub=72" TargetMode="External"/><Relationship Id="rId77" Type="http://schemas.openxmlformats.org/officeDocument/2006/relationships/hyperlink" Target="http://ivo.garant.ru/document?id=10003000&amp;sub=192" TargetMode="External"/><Relationship Id="rId8" Type="http://schemas.openxmlformats.org/officeDocument/2006/relationships/hyperlink" Target="http://ivo.garant.ru/document?id=10001207&amp;sub=3003" TargetMode="External"/><Relationship Id="rId51" Type="http://schemas.openxmlformats.org/officeDocument/2006/relationships/hyperlink" Target="http://ivo.garant.ru/document?id=12022299&amp;sub=0" TargetMode="External"/><Relationship Id="rId72" Type="http://schemas.openxmlformats.org/officeDocument/2006/relationships/hyperlink" Target="http://ivo.garant.ru/document?id=10001207&amp;sub=79" TargetMode="External"/><Relationship Id="rId80" Type="http://schemas.openxmlformats.org/officeDocument/2006/relationships/hyperlink" Target="http://ivo.garant.ru/document?id=10003000&amp;sub=0" TargetMode="External"/><Relationship Id="rId85" Type="http://schemas.openxmlformats.org/officeDocument/2006/relationships/hyperlink" Target="http://ivo.garant.ru/document?id=58201857&amp;sub=0" TargetMode="External"/><Relationship Id="rId3" Type="http://schemas.openxmlformats.org/officeDocument/2006/relationships/settings" Target="settings.xml"/><Relationship Id="rId12" Type="http://schemas.openxmlformats.org/officeDocument/2006/relationships/hyperlink" Target="http://ivo.garant.ru/document?id=10001207&amp;sub=86" TargetMode="External"/><Relationship Id="rId17" Type="http://schemas.openxmlformats.org/officeDocument/2006/relationships/hyperlink" Target="http://ivo.garant.ru/document?id=10003000&amp;sub=0" TargetMode="External"/><Relationship Id="rId25" Type="http://schemas.openxmlformats.org/officeDocument/2006/relationships/hyperlink" Target="http://ivo.garant.ru/document?id=10003000&amp;sub=5503" TargetMode="External"/><Relationship Id="rId33" Type="http://schemas.openxmlformats.org/officeDocument/2006/relationships/hyperlink" Target="http://ivo.garant.ru/document?id=10003000&amp;sub=192" TargetMode="External"/><Relationship Id="rId38" Type="http://schemas.openxmlformats.org/officeDocument/2006/relationships/hyperlink" Target="http://ivo.garant.ru/document?id=257&amp;sub=5607" TargetMode="External"/><Relationship Id="rId46" Type="http://schemas.openxmlformats.org/officeDocument/2006/relationships/hyperlink" Target="http://ivo.garant.ru/document?id=10002748&amp;sub=32" TargetMode="External"/><Relationship Id="rId59" Type="http://schemas.openxmlformats.org/officeDocument/2006/relationships/hyperlink" Target="http://ivo.garant.ru/document?id=12026962&amp;sub=0" TargetMode="External"/><Relationship Id="rId67" Type="http://schemas.openxmlformats.org/officeDocument/2006/relationships/hyperlink" Target="http://ivo.garant.ru/document?id=10003000&amp;sub=5503" TargetMode="External"/><Relationship Id="rId20" Type="http://schemas.openxmlformats.org/officeDocument/2006/relationships/hyperlink" Target="http://ivo.garant.ru/document?id=10003000&amp;sub=2" TargetMode="External"/><Relationship Id="rId41" Type="http://schemas.openxmlformats.org/officeDocument/2006/relationships/hyperlink" Target="http://ivo.garant.ru/document?id=2440803&amp;sub=2" TargetMode="External"/><Relationship Id="rId54" Type="http://schemas.openxmlformats.org/officeDocument/2006/relationships/hyperlink" Target="http://ivo.garant.ru/document?id=1693254&amp;sub=0" TargetMode="External"/><Relationship Id="rId62" Type="http://schemas.openxmlformats.org/officeDocument/2006/relationships/hyperlink" Target="http://ivo.garant.ru/document?id=12025128&amp;sub=0" TargetMode="External"/><Relationship Id="rId70" Type="http://schemas.openxmlformats.org/officeDocument/2006/relationships/hyperlink" Target="http://ivo.garant.ru/document?id=10001207&amp;sub=74" TargetMode="External"/><Relationship Id="rId75" Type="http://schemas.openxmlformats.org/officeDocument/2006/relationships/hyperlink" Target="http://ivo.garant.ru/document?id=257&amp;sub=56" TargetMode="External"/><Relationship Id="rId83" Type="http://schemas.openxmlformats.org/officeDocument/2006/relationships/hyperlink" Target="http://ivo.garant.ru/document?id=257&amp;sub=56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ivo.garant.ru/document?id=10001207&amp;sub=303" TargetMode="External"/><Relationship Id="rId15" Type="http://schemas.openxmlformats.org/officeDocument/2006/relationships/hyperlink" Target="http://ivo.garant.ru/document?id=10001207&amp;sub=99" TargetMode="External"/><Relationship Id="rId23" Type="http://schemas.openxmlformats.org/officeDocument/2006/relationships/hyperlink" Target="http://ivo.garant.ru/document?id=10003000&amp;sub=3901" TargetMode="External"/><Relationship Id="rId28" Type="http://schemas.openxmlformats.org/officeDocument/2006/relationships/hyperlink" Target="http://ivo.garant.ru/document?id=10001207&amp;sub=97" TargetMode="External"/><Relationship Id="rId36" Type="http://schemas.openxmlformats.org/officeDocument/2006/relationships/hyperlink" Target="http://ivo.garant.ru/document?id=1687270&amp;sub=0" TargetMode="External"/><Relationship Id="rId49" Type="http://schemas.openxmlformats.org/officeDocument/2006/relationships/hyperlink" Target="http://ivo.garant.ru/document?id=10006058&amp;sub=0" TargetMode="External"/><Relationship Id="rId57" Type="http://schemas.openxmlformats.org/officeDocument/2006/relationships/hyperlink" Target="http://ivo.garant.ru/document?id=12026964&amp;sub=0" TargetMode="External"/><Relationship Id="rId10" Type="http://schemas.openxmlformats.org/officeDocument/2006/relationships/hyperlink" Target="http://ivo.garant.ru/document?id=10001207&amp;sub=36" TargetMode="External"/><Relationship Id="rId31" Type="http://schemas.openxmlformats.org/officeDocument/2006/relationships/hyperlink" Target="http://ivo.garant.ru/document?id=10003000&amp;sub=3902" TargetMode="External"/><Relationship Id="rId44" Type="http://schemas.openxmlformats.org/officeDocument/2006/relationships/hyperlink" Target="http://ivo.garant.ru/document?id=10003761&amp;sub=1000" TargetMode="External"/><Relationship Id="rId52" Type="http://schemas.openxmlformats.org/officeDocument/2006/relationships/hyperlink" Target="http://ivo.garant.ru/document?id=12022130&amp;sub=0" TargetMode="External"/><Relationship Id="rId60" Type="http://schemas.openxmlformats.org/officeDocument/2006/relationships/hyperlink" Target="http://ivo.garant.ru/document?id=257&amp;sub=0" TargetMode="External"/><Relationship Id="rId65" Type="http://schemas.openxmlformats.org/officeDocument/2006/relationships/hyperlink" Target="http://ivo.garant.ru/document?id=10003000&amp;sub=191" TargetMode="External"/><Relationship Id="rId73" Type="http://schemas.openxmlformats.org/officeDocument/2006/relationships/hyperlink" Target="http://ivo.garant.ru/document?id=10001207&amp;sub=80" TargetMode="External"/><Relationship Id="rId78" Type="http://schemas.openxmlformats.org/officeDocument/2006/relationships/hyperlink" Target="http://ivo.garant.ru/document?id=10003000&amp;sub=3901" TargetMode="External"/><Relationship Id="rId81" Type="http://schemas.openxmlformats.org/officeDocument/2006/relationships/hyperlink" Target="http://ivo.garant.ru/document?id=257&amp;sub=56" TargetMode="External"/><Relationship Id="rId8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4004</Words>
  <Characters>22829</Characters>
  <Application>Microsoft Office Word</Application>
  <DocSecurity>0</DocSecurity>
  <Lines>190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26780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НПП "Гарант-Сервис"</dc:creator>
  <cp:keywords/>
  <dc:description>Документ экспортирован из системы ГАРАНТ</dc:description>
  <cp:lastModifiedBy>Denisz</cp:lastModifiedBy>
  <cp:revision>2</cp:revision>
  <dcterms:created xsi:type="dcterms:W3CDTF">2017-09-01T15:11:00Z</dcterms:created>
  <dcterms:modified xsi:type="dcterms:W3CDTF">2017-09-01T15:11:00Z</dcterms:modified>
</cp:coreProperties>
</file>