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header5.xml" ContentType="application/vnd.openxmlformats-officedocument.wordprocessingml.header+xml"/>
  <Override PartName="/customXml/itemProps1.xml" ContentType="application/vnd.openxmlformats-officedocument.customXmlProperti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pacing w:lineRule="auto" w:line="240"/>
        <w:jc w:val="right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>Приложение № 1.</w:t>
      </w:r>
    </w:p>
    <w:p>
      <w:pPr>
        <w:pStyle w:val="style0"/>
        <w:spacing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Анализ реализации поручений Межведомственной рабочей группы по вопроса</w:t>
      </w:r>
      <w:bookmarkStart w:id="0" w:name="_GoBack"/>
      <w:bookmarkEnd w:id="0"/>
      <w:r>
        <w:rPr>
          <w:rFonts w:ascii="Times New Roman" w:cs="Times New Roman" w:hAnsi="Times New Roman"/>
          <w:b/>
          <w:sz w:val="28"/>
          <w:szCs w:val="28"/>
        </w:rPr>
        <w:t>м жилищно-коммунального хозяйства при Правительстве РФ (Протокол № 1 от 20 июня 2017 г.)</w:t>
      </w:r>
    </w:p>
    <w:p>
      <w:pPr>
        <w:pStyle w:val="style0"/>
        <w:spacing w:lineRule="auto" w:line="240"/>
        <w:ind w:firstLine="708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Комиссия РСПП по жилищно-коммунальному хозяйству</w:t>
      </w:r>
      <w:r>
        <w:rPr>
          <w:rFonts w:ascii="Times New Roman" w:cs="Times New Roman" w:hAnsi="Times New Roman"/>
          <w:sz w:val="26"/>
          <w:szCs w:val="26"/>
        </w:rPr>
        <w:t xml:space="preserve"> проанализировала ход реализации поручений Межведомственной рабочей группы по вопросам жилищно-коммунального хозяйства при Правительстве РФ (Протокол № 1 от 20 июня 2017 г.)</w:t>
      </w:r>
      <w:r>
        <w:rPr>
          <w:rFonts w:ascii="Times New Roman" w:cs="Times New Roman" w:hAnsi="Times New Roman"/>
          <w:sz w:val="26"/>
          <w:szCs w:val="26"/>
        </w:rPr>
        <w:t xml:space="preserve"> и отмечает, что: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1. Подготовленный Минкомсвязи России законопроект по вопросам уточнения административной ответственности содержит поправки, прямо противоположные содержанию поручений межведомственной группы.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Законопроектом предлагается освободить Оператора системы от административной ответственности за нарушение практически всех технологических, программных, правовых и иных требований к ГИС ЖКХ, а также уменьшить для него размер штрафа (с 200 тыс. до 10 тыс. руб.)  Для поставщиков информации, напротив, предлагается увеличить количество составов правонарушений, значительно повысить размер штрафа (с 200 тыс. до 2 млн. руб.), ввести оборотные штрафы (в размере 1/10 размера годовой выручки), ввести расчет штрафов по количеству помещений и т.д.  Подробные замечания к законопроекту представлены в Приложении 1.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По мнению Комиссии, подобные изменения законодательства не только вводят чрезмерную административную нагрузку на организации ЖКХ, но и фактически поставят большинство таких предприятий на грань банкротства, при этом, в первую очередь, предприятия малого и среднего бизнеса. 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Так для небольшого ТСЖ, в управлении которого находится всего 1 многоквартирный дома (40 помещений), минимальные суммы штрафов за месяц будут больше 120 000 рублей (расчет в Приложении 1), что в 3 раза превышает суммарные начисления собственникам за содержание помещений за месяц . Иными словами, некорректная работа ГИС ЖКХ приведет к тому, что работы по содержанию и ремонту дома попросту не будут производиться из-за отсутствия финансирования.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В связи с указанным, просим отклонить законопроект Минкомсвязи России и рассмотреть возможность внесения в законодательство изменений, разработанных по указанному вопросу отраслевым сообществом (Приложение 2). 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 xml:space="preserve">2. Корректировка состава информации, подлежащей размещению в ГИС ЖКХ,  не произведена.  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Изменения в приказ Минкомсвязи России № 74, Минстроя России № 114/пр от 29.02.2016 «Об утверждении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хозяйства» до настоящего времени не внесены. Предложения компаний отрасли по вопросам сокращения состава размещаемой информации, исключения дублирований и избыточной информации не учтены.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Более того, несмотря на неоднократные замечания всего отраслевого сообщества и Минстроя России из приказа не исключена обязанность организаций ЖКХ переходить на единые лицевые счета потребителей, формируемые Системой. Установление подобных обязанностей не только не соответствует требованиям закона и функционалу информационной системы, но и повлечет значительные расходы абсолютно у всех участников рынка ЖКХ в связи с необходимостью доработки своих биллинговых систем. При этом ни экономических, ни технологических обоснований необходимости и целесообразности установления таких обязанностей Минкомсвязи России не представлено.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3. Изменения в законодательство в целях обеспечения конкурентных условий реализации платежного функционала ГИС ЖКХ не подготовлены.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Сохраняется монопольное положение банка, отобранного единолично Оператором системы для приема платежей, а также сохраняются необоснованные привилегии Оператора системы по использованию ГИС ЖКХ.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В частности, Оператор системы широко использует инфраструктуру Системы и размещенную в ней информацию в своей собственной коммерческой деятельности, в том числе в целях побуждения организаций ЖКХ к заключению возмездных договоров  оказания услуг с использованием платежного функционала Системы. При этом, несмотря на абсолютно неконкурентные условия таких договоров, у организаций ЖКХ отсутствуют какие-либо возможности их корректировки в связи с монопольным положением Оператора системы в установлении условий использования ГИС ЖКХ.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В связи с указанным, полагаем, что для обеспечения действительно конкурентных условий реализации платежного функционала ГИС ЖКХ Оператор системы должен функционировать на одинаковых со всеми другими платежными агентами условиях, </w:t>
      </w:r>
      <w:r>
        <w:rPr>
          <w:rFonts w:ascii="Times New Roman" w:cs="Times New Roman" w:hAnsi="Times New Roman"/>
          <w:sz w:val="26"/>
          <w:szCs w:val="26"/>
          <w:u w:val="single"/>
        </w:rPr>
        <w:t>т.е. исключительно на основании свободных договоров, заключаемых с поставщиками жилищно-коммунальных услуг</w:t>
      </w:r>
      <w:r>
        <w:rPr>
          <w:rFonts w:ascii="Times New Roman" w:cs="Times New Roman" w:hAnsi="Times New Roman"/>
          <w:sz w:val="26"/>
          <w:szCs w:val="26"/>
        </w:rPr>
        <w:t xml:space="preserve">. 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При этом все условия взаимодействия поставщиков и Оператора Системы по вопросам приема платежей за жилищно-коммунальные услуги (сроки перечисления платежей поставщикам, состав и порядок размещения в Системе необходимой для приема платежей информации (начисления, задолженность и т.п.), размер комиссии, условия информационного обмена и др.) должны определяться самими сторонами в указанных договорах. 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Такое изменение условий реализации платежного функционала Системы позволит не только обеспечить конкуренцию и повышение качества услуг Оператора системы, но и позволит избежать возникновения у поставщиков и потребителей повторных расходов на аналогичную деятельность. В частности, многие организации ЖКХ уже инвестировали значительные средства в повышение качества обслуживания своих потребителей и обеспечили предоставление им платежных документов в электронном виде с возможностью их оплаты в электронных платежных системах. Например, у гарантирующих поставщиков электрической энергии обязанность обеспечения таких условий обслуживания потребителей установлена нормативными правовыми актами с 2012 г.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 xml:space="preserve">4. Повышение надежности работы ГИС ЖКХ не обеспечено. 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Ситуация с неготовностью системы к полноценной промышленной эксплуатации осталась неизменной. Членами Комиссии отмечается сохранение значительного количества ошибок, недоработок, частое проведение технических работ в Системе, из-за которых загрузка данных останавливается на неопределенный срок, постоянное изменение функционала Системы разработчиком и т.п. 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При этом имеющиеся технические ошибки носят системный характер, в связи с чем их устранение планировалось только в новых версиях ГИС ЖКХ, выход которых был ранее анонсирован после 01.07.2017 (т.е. уже после наступления обязанности поставщиков размещать информацию), однако данные ошибки не устранены и до настоящего времени. Перечень таких технических ошибок и соответствующие ответы службы технической поддержки представлены в Приложении 4. 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В связи с указанным, считаем целесообразным проведение комплексного аудита готовности Системы к промышленной эксплуатации с привлечением не только Минкомсвязи России и Оператора системы, но и поставщиков информации и пользователей Системы. Кроме того, на уровне нормативных правовых актов необходимо определить четкий и прозрачный порядок ввода в эксплуатацию и эксплуатации Системы, в т.ч. порядок ввода новых версий Системы (предложения представлены в Приложении 3). 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5. Необходимо также отметить «конфликт интересов», имеющийся у Минкомсвязи России, и другие системные недостатки правового регулирования Системы, в результате которых ГИС ЖКХ оказалась полностью выведена из-под существующих видов государственного контроля за государственными информационными системами.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В соответствии с законодательством Минкомсвязи России одновременно является лицом, выполняющим (координирующим) работы в отношении ГИС ЖКХ, а также лицом, контролирующим выполнение таких работ. В результате, в отношении ГИС ЖКХ не осуществляется ни технический, ни экономический государственный контроль.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Так, в отношении всех других государственных информационных систем Минкомсвязи России обязано осуществлять контроль в соответствии с Постановлением Правительства РФ от 06.07.2015 № 675 «Об утверждении Правил осуществления контроля за соблюдением требований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информации». В отношении ГИС ЖКХ такой государственный контроль за выполнением технических требований не проводится.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Кроме того, при установлении нормативных требований к другим государственным информационным системам и порядку взаимодействия с ними Минкомсвязи России обязано утверждать заключение об оценке целесообразности проведения и финансирования мероприятий по информатизации на основании представленных разработчиком проекта нормативного правового акта финансово-экономического и технико-экономического обоснований, содержащих необходимые расчеты, обоснования, описание ожидаемых конечных результатов мероприятий по информатизации.  Такие требования установлены постановлениями Правительства РФ от 01.06.2004 № 260 и от 13.08.1997 № 1009.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В то же время, так как в отношении ГИС ЖКХ основным разработчиком всех нормативных требований (нормативных актов) является само Минкомсязи России,  необходимые обоснования и заключения об оценке экономической целесообразности установления требований к Системе не составляются.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Учитывая масштабность и социальную значимость ГИС ЖКХ, отсутствие государственного контроля за Системой представляется недопустимым. 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В связи с указанным, предлагаем на законодательном уровне закрепить порядок осуществления указанных видов контроля либо устранить «конфликт интересов»,  закрепив функции государственного заказчика ГИС ЖКХ за другим федеральным органом исполнительной власти.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Также необходимо устранить другие недостатки нормативного регулирования ГИС ЖКХ, такие как отсутствие механизмов обеспечения достоверности информации в Системе, отсутствие в законодательстве условий доступа к информации в ГИС ЖКХ и т.п.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Таким образом, несмотря на поручения Межведомственной рабочей группы вынуждены констатировать, что позитивных изменений в работе Системы и в законодательстве о ГИС ЖКХ до настоящего времени не произошло.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Учитывая, что 1 января 2018 г. вступают в силу нормы, предусматривающие серьезную административную ответственность поставщиков информации, а также право не оплачивать жилищно-коммунальные услуги при отсутствии информации в Системе, просим Вас, уважаемый Дмитрий Николаевич, вернуться к вопросу рассмотрения работы ГИС ЖКХ и скорейшего внесения необходимых изменений в законодательство.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ab/>
      </w:r>
      <w:r>
        <w:rPr>
          <w:rFonts w:ascii="Times New Roman" w:cs="Times New Roman" w:hAnsi="Times New Roman"/>
          <w:sz w:val="26"/>
          <w:szCs w:val="26"/>
        </w:rPr>
        <w:t xml:space="preserve">Кроме этого, члены Комиссии считают целесообразным привлечение независимого эксперта для проведения аудита Системы и формирования отчета о ее готовности к применению на всей территории Российской Федерации. 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sz w:val="26"/>
          <w:szCs w:val="26"/>
        </w:rPr>
      </w:pPr>
    </w:p>
    <w:p>
      <w:pPr>
        <w:pStyle w:val="style0"/>
        <w:spacing w:after="0" w:lineRule="auto" w:line="240"/>
        <w:ind w:firstLine="709"/>
        <w:jc w:val="right"/>
        <w:rPr>
          <w:rFonts w:ascii="Times New Roman" w:cs="Times New Roman" w:hAnsi="Times New Roman"/>
          <w:i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right"/>
        <w:rPr>
          <w:rFonts w:ascii="Times New Roman" w:cs="Times New Roman" w:hAnsi="Times New Roman"/>
          <w:i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right"/>
        <w:rPr>
          <w:rFonts w:ascii="Times New Roman" w:cs="Times New Roman" w:hAnsi="Times New Roman"/>
          <w:i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right"/>
        <w:rPr>
          <w:rFonts w:ascii="Times New Roman" w:cs="Times New Roman" w:hAnsi="Times New Roman"/>
          <w:i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right"/>
        <w:rPr>
          <w:rFonts w:ascii="Times New Roman" w:cs="Times New Roman" w:hAnsi="Times New Roman"/>
          <w:i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right"/>
        <w:rPr>
          <w:rFonts w:ascii="Times New Roman" w:cs="Times New Roman" w:hAnsi="Times New Roman"/>
          <w:i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right"/>
        <w:rPr>
          <w:rFonts w:ascii="Times New Roman" w:cs="Times New Roman" w:hAnsi="Times New Roman"/>
          <w:i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right"/>
        <w:rPr>
          <w:rFonts w:ascii="Times New Roman" w:cs="Times New Roman" w:hAnsi="Times New Roman"/>
          <w:i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right"/>
        <w:rPr>
          <w:rFonts w:ascii="Times New Roman" w:cs="Times New Roman" w:hAnsi="Times New Roman"/>
          <w:i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right"/>
        <w:rPr>
          <w:rFonts w:ascii="Times New Roman" w:cs="Times New Roman" w:hAnsi="Times New Roman"/>
          <w:i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right"/>
        <w:rPr>
          <w:rFonts w:ascii="Times New Roman" w:cs="Times New Roman" w:hAnsi="Times New Roman"/>
          <w:i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right"/>
        <w:rPr>
          <w:rFonts w:ascii="Times New Roman" w:cs="Times New Roman" w:hAnsi="Times New Roman"/>
          <w:i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right"/>
        <w:rPr>
          <w:rFonts w:ascii="Times New Roman" w:cs="Times New Roman" w:hAnsi="Times New Roman"/>
          <w:i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right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>Приложение № 2</w:t>
      </w:r>
    </w:p>
    <w:p>
      <w:pPr>
        <w:pStyle w:val="style0"/>
        <w:spacing w:after="0" w:lineRule="auto" w:line="240"/>
        <w:ind w:firstLine="709"/>
        <w:jc w:val="center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Замечания к законопроектам Минкомсвязи России по вопросам ГИС ЖКХ,  размещенным на сайте regulation.gov.ru для общественного обсуждения</w:t>
      </w:r>
    </w:p>
    <w:p>
      <w:pPr>
        <w:pStyle w:val="style0"/>
        <w:spacing w:after="0" w:lineRule="auto" w:line="240"/>
        <w:ind w:firstLine="709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center"/>
        <w:rPr>
          <w:rFonts w:ascii="Times New Roman" w:cs="Times New Roman" w:hAnsi="Times New Roman"/>
          <w:bCs/>
          <w:sz w:val="24"/>
          <w:szCs w:val="24"/>
          <w:u w:val="single"/>
        </w:rPr>
      </w:pPr>
      <w:r>
        <w:rPr>
          <w:rFonts w:ascii="Times New Roman" w:cs="Times New Roman" w:hAnsi="Times New Roman"/>
          <w:bCs/>
          <w:sz w:val="24"/>
          <w:szCs w:val="24"/>
          <w:u w:val="single"/>
        </w:rPr>
        <w:t>Замечания</w:t>
      </w:r>
      <w:r>
        <w:rPr>
          <w:rFonts w:ascii="Times New Roman" w:cs="Times New Roman" w:hAnsi="Times New Roman"/>
          <w:bCs/>
          <w:sz w:val="24"/>
          <w:szCs w:val="24"/>
          <w:u w:val="single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  <w:u w:val="single"/>
        </w:rPr>
        <w:t>к проекту Федерального закона «О внесении изменений в отдельные законодательные акты Российской Федерации в связи с принятием Федерального закона «О государственной информационной системе жилищно-коммунального хозяйства» от 21.07.2014 № 263-ФЗ»</w:t>
      </w:r>
      <w:r>
        <w:rPr>
          <w:rFonts w:ascii="Times New Roman" w:cs="Times New Roman" w:hAnsi="Times New Roman"/>
          <w:bCs/>
          <w:sz w:val="24"/>
          <w:szCs w:val="24"/>
          <w:u w:val="single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  <w:u w:val="single"/>
        </w:rPr>
        <w:t>(ID законопроекта 02/04/08-17/00070023)</w:t>
      </w:r>
    </w:p>
    <w:p>
      <w:pPr>
        <w:pStyle w:val="style0"/>
        <w:spacing w:after="0" w:lineRule="auto" w:line="240"/>
        <w:ind w:firstLine="709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</w:p>
    <w:p>
      <w:pPr>
        <w:pStyle w:val="style179"/>
        <w:numPr>
          <w:ilvl w:val="0"/>
          <w:numId w:val="1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Законопроект безосновательно чрезмерно ужесточает административную ответственность ресурсоснабжающих и управляющих организаций (далее – РСО/УК) за нарушение порядка размещения информации в ГИС ЖКХ.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а)  Для РСО/УК увеличивается максимальный размер штрафа за 1 правонарушение с 200 тыс. руб. до 2 млн. руб. (проектируемая ст. 13.19.2 КоАП РФ), что нарушает принципы соразмерности и справедливости наказания.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Согласно постановлению Конституционного Суда РФ от 12.05.1998 № 14-П  установление чрезмерно высоких размеров административных санкций нарушает гарантированные Конституцией РФ принципы соразмерности и справедливости наказания, а также права и свободы, в т.ч. право на свободу экономической деятельности, право на свободное использование своих способностей и имущества для предпринимательской и иной не запрещенной законом экономической деятельности, право частной собственности </w:t>
      </w:r>
      <w:r>
        <w:rPr/>
        <w:fldChar w:fldCharType="begin"/>
      </w:r>
      <w:r>
        <w:instrText xml:space="preserve"> HYPERLINK "consultantplus://offline/ref=9A77B8263C063AE2CC5E6D0E8E9774DE9F0E80470448E537AB7821A2FBD5AEBE5ED5EFB84A00m2JAJ" </w:instrText>
      </w:r>
      <w:r>
        <w:rPr/>
        <w:fldChar w:fldCharType="separate"/>
      </w:r>
      <w:r>
        <w:rPr>
          <w:rFonts w:ascii="Times New Roman" w:cs="Times New Roman" w:hAnsi="Times New Roman"/>
          <w:sz w:val="24"/>
          <w:szCs w:val="24"/>
        </w:rPr>
        <w:t>(статьи 8, 34, 35 Конституции РФ</w:t>
      </w:r>
      <w:r>
        <w:rPr/>
        <w:fldChar w:fldCharType="end"/>
      </w:r>
      <w:r>
        <w:rPr>
          <w:rFonts w:ascii="Times New Roman" w:cs="Times New Roman" w:hAnsi="Times New Roman"/>
          <w:sz w:val="24"/>
          <w:szCs w:val="24"/>
        </w:rPr>
        <w:t>).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Кроме того, установление столь значительных санкций является недопустимым, поскольку нарушение порядка размещения информации в ГИС ЖКХ является формальным правонарушением, т.е. не влекущем никакого материального ущерба.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б) Устанавливается возможность многократного привлечения РСО/УК к административной ответственности за 1 правонарушение, что нарушает основополагающие положения КоАП РФ и сложившейся судебной практики.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Согласно проектируемой ч.1 ст. 13.19.2 КоАП РФ административный штраф назначается за нарушение порядка размещения информации в ГИС ЖКХ по каждому жилому/нежилому помещению в МКД.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 то же время, совершение однородных деяний не образует нескольких административных правонарушений, а признается одним правонарушением, за которое назначается 1 наказание.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Указанный подход подтверждается, например, следующими актами: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- постановление Верховного Суда РФ от 09.08.2016 № 29-АД16-9. 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Суд установил, что невыплата заработной платы нескольким работникам за один и тот же расчетный период составляет 1 административное правонарушение.  То обстоятельство, что в отношении разных работников были составлены  отдельные акты проверок (протоколы), не является основанием для назначения нескольких штрафов;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 постановление ФАС России от 21.02.2017 по делу №АК084-17.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ФАС отметил, что необеспечение надлежащей работы электронной площадки в определенную дату является 1 административным правонарушением независимо от количества лиц, которые не смогли воспользоваться электронной площадкой в эту дату. Назначение оператору электронной площадки административного наказания по данному факту в отношении 1 лица, который не смог воспользоваться электронной площадкой, является основанием для прекращения всех других административных производств по данному факту в отношении других лиц (по п.7 ч.1 ст. 24.5 КоАП);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- постановление Арбитражного суда Московского округа от 21.09.2016 № А40-17504/2016. 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Суд указал, что нарушения нескольких условий лицензии, которые были выявлены в рамках одной проверки, одним контролирующим органом, в один день, в отношении одного лица и возникли в результате одних фактических обстоятельств, создают 1 административное правонарушение. То обстоятельство, что в отношении данных нарушений были составлены отдельные протоколы об административных правонарушениях, не является основанием для назначения нескольких наказаний.</w:t>
      </w:r>
    </w:p>
    <w:p>
      <w:pPr>
        <w:pStyle w:val="style0"/>
        <w:autoSpaceDE w:val="false"/>
        <w:autoSpaceDN w:val="false"/>
        <w:adjustRightInd w:val="false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Согласно ч. 5 ст. 4.1. КоАП РФ никто не может нести административную ответственность дважды за одно и то же административное правонарушение.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На основании изложенного, неразмещение информации по всем помещениям в МКД является 1 правонарушением и за него может быть назначен только 1 административный штраф.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в) Вводится ответственность РСО/УК за нарушение порядка взаимодействия их информационных систем с ГИС ЖКХ (проектируемая ч.3 ст. 13.19.1 КоАП РФ), что нарушает принцип определенности правовых норм, а также приводит к установлению двойной ответственности за одно деяние.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 законодательстве отсутствует обязанность РСО/УК организовать взаимодействие их информационных систем с ГИС ЖКХ, а также порядок такого взаимодействия. Соответственно, установление ответственности за такие деяния недопустимо.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Кроме того, введение такого нового вида правонарушения приведет к назначению РСО/УК  двойного наказания за 1 деяние: по ст. 13.19.1 КоАП РФ  прокуратура будет назначать наказание за нарушение порядка взаимодействия информационных систем с ГИС ЖКХ, а по ст. 13.19.2 КоАП РФ  органы государственного жилищного надзора – за нарушение порядка размещения информации в ГИС ЖКХ, возникшее вследствие нарушения порядка взаимодействия информационных систем  РСО/УК с ГИС ЖКХ.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Согласно ст. 4.4 КоАП РФ при совершении лицом одного действия (бездействия), содержащего составы административных правонарушений, ответственность за которые предусмотрена двумя и более статьями (частями статей) КоАП РФ и рассмотрение дел о которых подведомственно разным органам,  административное наказание назначается за каждое правонарушение отдельно.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г) Для РСО/УК устанавливается начисление административных штрафов от суммы начисляемой потребителям платы за жилищно-коммунальные услуги, а также от суммы годовой выручки РСО/УК от реализации жилищно-коммунальных услуг (проектируемые ч.ч. 3,4 ст. 13.19.2, п.15 ч.1 ст.3.5 КоАП РФ).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Указанные положения Законопроекта нарушают  принцип равенства лиц перед законом, предусмотренный ст. 1.4. КоАП РФ, поскольку за одно и то же деяние административная ответственность поставщиков жилищно-коммунальных услуг будет отличаться в несколько раз исключительно по причине различия стоимости оказываемых ими услуг. Например, наибольшие штрафы будут возникать у теплоснабжающих организаций, так как стоимость тепловой энергии превышает стоимость других видов  коммунальных ресурсов.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Кроме того, стоимость жилищно-коммунальных услуг сама по себе не является ни предметом административного правонарушения по неразмещению информации, ни размером материального ущерба. В связи с указанным, исчисление административных штрафов исходя из указанной стоимости услуг нарушает общие положения порядка исчисления административных штрафов, закрепленные в ст. 3.5 КоАП РФ.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179"/>
        <w:spacing w:after="0"/>
        <w:ind w:left="0" w:firstLine="56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В целом, предлагаемый Законопроектом порядок расчета административных штрафов фактически поставит большинство предприятий ЖКХ на грань банкротства, при этом, в первую очередь, предприятия малого и среднего бизнеса. </w:t>
      </w:r>
    </w:p>
    <w:p>
      <w:pPr>
        <w:pStyle w:val="style179"/>
        <w:spacing w:after="0"/>
        <w:ind w:left="0" w:firstLine="56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Например, для небольшого ТСЖ, в управлении которого находится всего 1 многоквартирный дома (40 помещений</w:t>
      </w:r>
      <w:r>
        <w:rPr>
          <w:rFonts w:ascii="Times New Roman" w:cs="Times New Roman" w:hAnsi="Times New Roman"/>
          <w:sz w:val="24"/>
          <w:szCs w:val="24"/>
        </w:rPr>
        <w:t>, общая площадь 2000 кв.м., сумма начислений за содержание и ремонт примерно 40 000 руб. в месяц</w:t>
      </w:r>
      <w:r>
        <w:rPr>
          <w:rFonts w:ascii="Times New Roman" w:cs="Times New Roman" w:hAnsi="Times New Roman"/>
          <w:sz w:val="24"/>
          <w:szCs w:val="24"/>
        </w:rPr>
        <w:t>), минимальные суммы штрафов за месяц будут больше 120 000 рублей (</w:t>
      </w:r>
      <w:r>
        <w:rPr>
          <w:rFonts w:ascii="Times New Roman" w:cs="Times New Roman" w:hAnsi="Times New Roman"/>
          <w:sz w:val="24"/>
          <w:szCs w:val="24"/>
        </w:rPr>
        <w:t xml:space="preserve">примерный </w:t>
      </w:r>
      <w:r>
        <w:rPr>
          <w:rFonts w:ascii="Times New Roman" w:cs="Times New Roman" w:hAnsi="Times New Roman"/>
          <w:sz w:val="24"/>
          <w:szCs w:val="24"/>
        </w:rPr>
        <w:t xml:space="preserve">расчет прилагается), что в 3 раза превышает суммарные начисления собственникам за содержание помещений за месяц .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179"/>
        <w:numPr>
          <w:ilvl w:val="0"/>
          <w:numId w:val="1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Законопроект безосновательно чрезмерно</w:t>
      </w:r>
      <w:r>
        <w:rPr>
          <w:rFonts w:ascii="Times New Roman" w:cs="Times New Roman" w:hAnsi="Times New Roman"/>
          <w:b/>
          <w:sz w:val="24"/>
          <w:szCs w:val="24"/>
        </w:rPr>
        <w:t xml:space="preserve"> уменьшает административную ответственность Оператора Системы.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а) для Оператора Системы Законопроект уменьшает размер штрафа за 1 нарушение с 200 до 10 тыс. руб. (проектируемая ч.2.1 ст. 13.19.1 КоАП РФ).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Какие-либо объективные основания для уменьшения ответственности Оператора Системы отсутствуют.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Напротив, ответственность Оператора за нарушения доступа к системе требует конкретизации и ужесточения, т.к. в настоящее время порядок предоставления доступа устанавливается самим Оператором Системы, что создает значительные риски невозможности привлечения его к такой ответственности.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б) для Оператора Системы Законопроектом кардинальным образом сокращаются основания привлечения к административной ответственности.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Так, согласно проектируемой ч.2 ст. 13.19.1 КоАП РФ предлагается исключить возможность привлечения Оператора Системы к ответственности за нарушение всех технологических, программных, лингвистических, правовых и иных требований к ГИС ЖКХ. Ответственность Оператора предлагается установить только за нарушение сроков восстановления работоспособности Системы в случае прекращения ее функционирования.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 условиях необходимости повышения качества работы ГИС ЖКХ исключение ответственности Оператора Системы за нарушение всех требований к Системе является  недопустимым.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Кроме того, ограничение ответственности Оператора Системы только случаями нарушения сроков восстановления работоспособности Системы нарушает законодательство  о ГИС ЖКХ, устанавливающего обязанность Оператора обеспечить бесперебойное функционирование системы 24 часа в сутки, 7 дней в неделю, круглый год (ч. 4 ст. 7 Федерального закона от 21.07.2014 № 209-ФЗ «О государственной информационной системе жилищно-коммунального хозяйства»; подп. «а» п. 6 Приказа Минкомсвязи России № 87, Минстроя России № 202/пр от 23.03.2015 «Об утверждении требований к технологическим, программным, лингвистическим, правовым и организационным средствам обеспечения пользования государственной информационной системой жилищно-коммунального хозяйства, в том числе требований к ее архитектуре»).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в) для Оператора Системы предлагается ввести основание освобождения его от назначения административного наказания, несмотря на полное отсутствие такой процедуры в КоАП РФ.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Согласно проектируемым ч.ч. 2 и 2.1 ст. 13.19.1 КоАП РФ устанавливается невозможность назначения Оператору системы административного штрафа за совершенное правонарушение, в случае если общий размер штрафов за такие нарушения за 1 месяц превышает сумму 2 млн. руб.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При этом КоАП РФ не содержит возможности освобождения лица от назначения административного наказания.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КоАП РФ устанавливается только основания освобождения лица от административной ответственности при малозначительности правонарушения (ст. 2.9 КоАП РФ), а также  основания прекращения производства по делу об административном правонарушении в предусмотренных ст. 24.5 КоАП РФ случаях (отсутствие события правонарушения, истечение сроков давности и др.).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Таким образом, предлагаемое Законопроектом основание освобождения Оператора системы от административного наказания (штрафа) является необоснованным ни фактически, ни юридически.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numPr>
          <w:ilvl w:val="0"/>
          <w:numId w:val="1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В Законопроекте отсутствуют нормы, уточняющие порядок привлечения к административной ответственности Оператора Системы, несмотря на явное недостаточное регулирование ответственности Оператора.</w:t>
      </w:r>
    </w:p>
    <w:p>
      <w:pPr>
        <w:pStyle w:val="style179"/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В частности, Оператор Системы, являясь активным участником рынка ЖКХ, фактически получает возможность доступа ко всей размещенной в Системе информации, в том числе составляющей коммерческую тайну, а также к персональным данным граждан, размещенным в закрытой части Системы, что предоставляет ему существенные преимущества. </w:t>
      </w:r>
    </w:p>
    <w:p>
      <w:pPr>
        <w:pStyle w:val="style179"/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Законодательно ничем не ограничено право Оператора использовать данную информацию в собственных целях, в результате чего он получает существенные преимущества на рынке ЖКХ. </w:t>
      </w:r>
    </w:p>
    <w:p>
      <w:pPr>
        <w:pStyle w:val="style179"/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 связи с указанным, необходимо в законодательстве о ГИС ЖКХ четко зафиксировать запрет на использование Оператором Системы информации, размещенной в Системе иными поставщиками информации, а также на передачу ее третьим лицам, а в  КоАП РФ предусмотреть ответственность Оператора за нарушение указанных требований.</w:t>
      </w:r>
    </w:p>
    <w:p>
      <w:pPr>
        <w:pStyle w:val="style179"/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Кроме того, необходимо предусмотреть ответственность Оператора за своевременное и корректное отражение информации в Системе, в том числе в личных кабинетах потребителей и поставщиков информации.</w:t>
      </w:r>
    </w:p>
    <w:p>
      <w:pPr>
        <w:pStyle w:val="style179"/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Также необходимо установить ответственность Оператора за нарушение порядка и сроков технической поддержки пользователей Системы.</w:t>
      </w:r>
    </w:p>
    <w:p>
      <w:pPr>
        <w:pStyle w:val="style179"/>
        <w:spacing w:after="0" w:lineRule="auto" w:line="240"/>
        <w:ind w:left="178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4. Положения Законопроекта нарушают принцип равенства всех перед законом, установленный в Конституции РФ и КоАП РФ.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Согласно проектируемой ст. 13.19.2 КоАП РФ за совершение одного и того же деяния Законопроектом предлагается установить различные наказания для разных видов юридических лиц (РСО, УК, ЖСК, ЖК, представители данных субъектов и др.).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Указанные положения Законопроекта нарушают ст. 19 Конституции РФ, устанавливающую принцип равенства перед законом и судом.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Также нарушается ст. 1.4. КоАП РФ, согласно которой лица, совершившие административные правонарушения, равны перед законом. Юридические лица подлежат административной ответственности независимо от места нахождения, организационно-правовых форм, подчиненности, а также других обстоятельств.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Отдельные особенности административной ответственности могут устанавливаться исключительно для субъектов малого и среднего предпринимательства ввиду их особого статуса (ч. 3 ст. 4.1 КоАП РФ).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5. Законопроект не устраняет дублирование и пересечение норм об административной ответственности за неразмещение информации в ГИС ЖКХ с другими нормами КоАП РФ.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 частности, за нарушение порядка размещения информации в ГИС ЖКХ помимо ст. 13.19.2 КоАП РФ административная ответственность также может возникнуть по ст. 19.8.1 КоАП РФ за «непредоставление сведений или предоставление заведомо ложных сведений о своей деятельности, неопубликование или опубликование заведомо ложных сведений о своей деятельности субъектами естественных монополий и (или) организациями коммунального комплекса, если опубликование и (или) предоставление таких сведений являются обязательными в соответствии с законодательством Российской Федерации».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 целях исключения дублирования необходимо предусмотреть исключение применения указанной части ст. 19.18.1 КоАП РФ для случаев непредоставления сведений согласно законодательству о ГИС ЖКХ.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В то же время, Законопроектом предлагается установить такое исключение применительно к случаям нарушения «установленных стандартов раскрытия информации о регулируемой деятельности субъектов естественных монополий и (или) организаций коммунального комплекса», несмотря на то, что предоставление сведений в ГИС ЖКХ не входит в содержание указанных стандартов раскрытия информации, в связи с чем не образует указанного состава административного правонарушения. 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6. Законопроектом предлагается установить новое неопределенное основание для вынесения предупреждения – «устранение административного правонарушения» (проектируемая ст.3.4 КоАП РФ).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 то же время, порядок применения такого основания не ясен. В частности, не ясно, в какой срок должно быть устранено административное правонарушение для установления возможности вынесения предупреждения.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7. В Законопроекте необходимо уточнить (заменить) наступление административной ответственности поставщиков информации за размещение «недостоверной информации» на ответственность за размещение «заведомо искаженной информации».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Указанное уточнение обусловлено тем, что в соответствии с приказом Минкомсвязи России N 74, Минстроя России N 114/пр от 29.02.2016 «Об утверждении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хозяйств» поставщики информации – ресурсоснабжающие организации обязаны размещать значительный объем информации, которую они получают от третьих лиц и, соответственно, за достоверность которой не могут нести ответственность.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Таким образом, ответственность может возникать только за размещение в Системе заведомо искаженной информации в целях недопущения недобросовестных действий отдельных участников рынка.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8. Законопроект нарушает требования к порядку внесения изменений в КоАП РФ.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а) Законопроектом предлагается внести изменения в Федеральный закон № 263-ФЗ, которым внесены соответствующие изменения в законодательные акты Российской Федерации, регулирующие отношения, связанные с ГИС ЖКХ.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 соответствии с правилами юридической техники, а также п. 57 Методических рекомендаций по юридико-техническому оформлению законопроектов (письмо Аппарата Государственной Думы Федерального Собрания РФ от 18.11.2003  № вн2-18/490) изменения в законодательные акты всегда вносятся только в основной законодательный акт. Вносить изменения в основной законодательный акт путем внесения изменений в изменяющий его законодательный акт недопустимо.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Более того, статьи 13.19.1 и 13.19.2 КоАП РФ, введенные Федеральным законом № 263-ФЗ «О внесении изменений в отдельные законодательные акты», уже вступили в силу и применяются в отношении определенных категорий субъектов.   Таким образом, изменение указанных статей путем внесения поправок в Федеральный закон № 263-ФЗ будет нарушать правила действия законодательства об административных правонарушениях во времени, а также запрет придания обратной силы закону, устанавливающему или отягчающему административную ответственность за административное правонарушение (ст. 1.4 КоАП РФ).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б) Законопроектом предлагается внести изменения в КоАП РФ не напрямую, а путем изменения законодательного акта, регулирующего вопросы  функционирования ГИС ЖКХ.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Указанный порядок нарушает ст. 1.1 Федерального закона от 30.12.2001 (в ред. от 17.04.2017) № 196-ФЗ «О введении в действие Кодекса Российской Федерации об административных правонарушениях», согласно которой внесение изменений в КоАП РФ должно приниматься отдельными федеральными законами. При этом положения, предусматривающие внесение изменений в КоАП РФ не могут быть включены в тексты федеральных законов, изменяющих другие законодательные акты РФ.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9. Предлагаемые Законопроектом изменения в ч. 2 ст. 155 ЖК РФ не могут быть однозначно истолкованы, поскольку не ясен предлагаемый период определения пени.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 частности, предусматривается, что потребитель вправе не оплачивать пени «за тот период, за который соответствующие информация о размере платы и задолженность должны быть размещены в системе».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Из указанной редакции ч.2 ст. 155 Жилищного кодекса РФ  невозможно установить срок начала и окончания периода, за который не будет начисляться пени.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Кроме того, порядок уплаты пени за просрочку оплаты жилищно-коммунальных услуг, включая период и сроки начисления данной пени, установлен в части 14 статьи 155 Жилищного кодекса РФ. Таким образом, в целях сохранения единого правового регулирования порядка оплаты пени, а также недопущения создания дублирования и противоречий в нормах Жилищного кодекса Российской Федерации,  совершенствование экономической мотивации размещения информации в ГИС ЖКХ должно производиться путем внесения соответствующих изменений в часть 14 статьи 155 Жилищного кодекса.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10. Законопроект не предусматривает внесение всех необходимых поправок в нормы законодательства о ГИС ЖКХ в связи с изменением концепции экономической ответственности за неразмещение информации в Системе (исключение права не оплачивать жилищно-коммунальные услуги и закрепление возможности не оплачивать пени за данные услуги при отсутствии информации в Системе).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 частности, помимо внесения изменений в ч.2.2 ст. 155 Жилищного кодекса РФ соответствующие изменения также должны быть внесены: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 в ч.7 ст. 6  Федерального закона от 21.07.2014 N 263-ФЗ «О внесении изменений в отдельные законодательные акты Российской Федерации в связи с принятием Федерального закона «О государственной информационной системе жилищно-коммунального хозяйства»;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 в ч.ч. 8 и 9 ст. 12 Федерального закона от 21.07.2014 № 209-ФЗ «О государственной информационной системе жилищно-коммунального хозяйства».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18"/>
        <w:jc w:val="right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18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Замечания</w:t>
      </w:r>
    </w:p>
    <w:p>
      <w:pPr>
        <w:pStyle w:val="style0"/>
        <w:spacing w:after="0" w:lineRule="auto" w:line="218"/>
        <w:jc w:val="center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к проекту Федерального закона «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О внесении изменений в Федеральный закон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«О государственной информационной системе жилищно-коммунального хозяйства»</w:t>
      </w:r>
      <w:r>
        <w:rPr>
          <w:rFonts w:ascii="Times New Roman" w:cs="Times New Roman" w:eastAsia="Times New Roman" w:hAnsi="Times New Roman"/>
          <w:b/>
          <w:sz w:val="24"/>
          <w:szCs w:val="24"/>
        </w:rPr>
        <w:br/>
      </w:r>
      <w:r>
        <w:rPr>
          <w:rFonts w:ascii="Times New Roman" w:cs="Times New Roman" w:eastAsia="Times New Roman" w:hAnsi="Times New Roman"/>
          <w:b/>
          <w:sz w:val="24"/>
          <w:szCs w:val="24"/>
        </w:rPr>
        <w:t>(</w:t>
      </w:r>
      <w:r>
        <w:rPr>
          <w:rFonts w:ascii="Times New Roman" w:cs="Times New Roman" w:hAnsi="Times New Roman"/>
          <w:b/>
          <w:sz w:val="24"/>
          <w:szCs w:val="24"/>
          <w:lang w:val="en-US"/>
        </w:rPr>
        <w:t>ID</w:t>
      </w:r>
      <w:r>
        <w:rPr>
          <w:rFonts w:ascii="Times New Roman" w:cs="Times New Roman" w:hAnsi="Times New Roman"/>
          <w:b/>
          <w:sz w:val="24"/>
          <w:szCs w:val="24"/>
        </w:rPr>
        <w:t xml:space="preserve"> законопроекта 02/04/08-17/00070011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)</w:t>
      </w:r>
    </w:p>
    <w:p>
      <w:pPr>
        <w:pStyle w:val="style0"/>
        <w:spacing w:after="0" w:lineRule="auto" w:line="218"/>
        <w:jc w:val="center"/>
        <w:rPr>
          <w:rFonts w:ascii="Times New Roman" w:cs="Times New Roman" w:eastAsia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18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1. Необходимость в размещении банками и иными кредитными организациями в ГИС ЖКХ информации о платежах за коммунальные ресурсы в пользу РСО отсутствует.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p>
      <w:pPr>
        <w:pStyle w:val="style0"/>
        <w:spacing w:after="0" w:lineRule="auto" w:line="218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Предметом регулирования Федерального закона от 21.07.2014 № 209-ФЗ «О государственной информационной системе жилищно-коммунального хозяйства» является размещение информации в ГИС ЖКХ, связанной с жилищно-коммунальным хозяйством.</w:t>
      </w:r>
    </w:p>
    <w:p>
      <w:pPr>
        <w:pStyle w:val="style0"/>
        <w:spacing w:after="0" w:lineRule="auto" w:line="218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Расчеты управляющих организаций, ТСЖ, ЖСК с ресурсоснабжающими организациями регулируются гражданским, банковским и иным отраслевым законодательством и не относятся к предмету регулирования жилищного законодательства и законодательства о ГИС ЖКХ. </w:t>
      </w:r>
    </w:p>
    <w:p>
      <w:pPr>
        <w:pStyle w:val="style0"/>
        <w:spacing w:after="0" w:lineRule="auto" w:line="218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Кроме того, размещение банками такой информации создаст дублирование информации, поскольку управляющие и ресурсоснабжающие организации  уже обязаны размещать в ГИС ЖКХ сведения о своих расчетах.</w:t>
      </w:r>
    </w:p>
    <w:p>
      <w:pPr>
        <w:pStyle w:val="style0"/>
        <w:spacing w:after="0" w:lineRule="auto" w:line="218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style0"/>
        <w:spacing w:after="0" w:lineRule="auto" w:line="218"/>
        <w:ind w:firstLine="709"/>
        <w:jc w:val="both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2.  Законопроект нарушает требования законодательства о необходимости обоснования возможности и целесообразности установления новых требований к ГИС ЖКХ и порядку взаимодействия с ней.</w:t>
      </w:r>
    </w:p>
    <w:p>
      <w:pPr>
        <w:pStyle w:val="style0"/>
        <w:spacing w:after="0" w:lineRule="auto" w:line="218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Принятие законопроекта повлечет возникновение дополнительных расходов у банков и кредитных организаций на исполнение новых обязанностей, а также дополнительных расходов ресурсоснабжающих организаций, управляющих организаций, ТСЖ, ЖСК, информационно-расчетных центров на обработку новой информации и совершенствование программного обеспечения в указанных целях.</w:t>
      </w:r>
    </w:p>
    <w:p>
      <w:pPr>
        <w:pStyle w:val="style0"/>
        <w:spacing w:after="0" w:lineRule="auto" w:line="218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Обоснование необходимости установления новых обязанностей, влекущих расходы организаций ЖКХ и кредитных организаций, отсутствует.</w:t>
      </w:r>
    </w:p>
    <w:p>
      <w:pPr>
        <w:pStyle w:val="style0"/>
        <w:spacing w:after="0" w:lineRule="auto" w:line="218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При этом согласно п. 60 (2) Регламента Правительства Российской Федерации, утвержденного Постановлением Правительства РФ от 01.06.2004 № 260,  к проекту нормативного правового акта, предусматривающему мероприятия по использованию информационно-коммуникационных технологий, эксплуатации информационных систем и информационно-коммуникационной инфраструктуры (далее - мероприятия по информатизации), должно прилагаться технико-экономическое обоснование, содержащее необходимые расчеты, обоснования, описание ожидаемых конечных результатов мероприятий по информатизации.</w:t>
      </w:r>
    </w:p>
    <w:p>
      <w:pPr>
        <w:pStyle w:val="style0"/>
        <w:spacing w:after="0" w:lineRule="auto" w:line="218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 отношении такого проекта такого нормативного правового акта и обоснований к нему Минкомсвязи России обязано подготовить заключение, подписанное уполномоченным должностным лицом, в котором дается оценка целесообразности проведения мероприятий по информатизации и (или) их финансирования.  </w:t>
      </w:r>
    </w:p>
    <w:p>
      <w:pPr>
        <w:pStyle w:val="style0"/>
        <w:spacing w:after="0" w:lineRule="auto" w:line="218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Необходимые заключение и обоснования к законопроекту отсутствуют.</w:t>
      </w:r>
    </w:p>
    <w:p>
      <w:pPr>
        <w:pStyle w:val="style0"/>
        <w:spacing w:after="0" w:lineRule="auto" w:line="218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style0"/>
        <w:spacing w:after="0" w:lineRule="auto" w:line="218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style0"/>
        <w:spacing w:after="0" w:lineRule="auto" w:line="218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style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br w:type="page"/>
      </w:r>
    </w:p>
    <w:p>
      <w:pPr>
        <w:pStyle w:val="style0"/>
        <w:rPr>
          <w:rFonts w:ascii="Times New Roman" w:cs="Times New Roman" w:hAnsi="Times New Roman"/>
          <w:b/>
          <w:sz w:val="24"/>
          <w:szCs w:val="24"/>
        </w:rPr>
        <w:sectPr>
          <w:headerReference w:type="even" r:id="rId2"/>
          <w:headerReference w:type="default" r:id="rId3"/>
          <w:footerReference w:type="even" r:id="rId4"/>
          <w:footerReference w:type="default" r:id="rId5"/>
          <w:headerReference w:type="first" r:id="rId6"/>
          <w:pgSz w:w="11906" w:h="16838" w:orient="portrait"/>
          <w:pgMar w:top="1134" w:right="851" w:bottom="567" w:left="1418" w:header="709" w:footer="709" w:gutter="0"/>
          <w:cols w:space="708"/>
          <w:docGrid w:linePitch="360"/>
        </w:sectPr>
      </w:pPr>
    </w:p>
    <w:p>
      <w:pPr>
        <w:pStyle w:val="style0"/>
        <w:spacing w:after="0" w:lineRule="auto" w:line="240"/>
        <w:rPr>
          <w:rFonts w:ascii="Times New Roman" w:cs="Times New Roman" w:hAnsi="Times New Roman"/>
          <w:b/>
          <w:sz w:val="20"/>
          <w:szCs w:val="20"/>
        </w:rPr>
      </w:pP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25" behindDoc="false" locked="false" layoutInCell="true" allowOverlap="true">
                <wp:simplePos x="0" y="0"/>
                <wp:positionH relativeFrom="column">
                  <wp:posOffset>7431405</wp:posOffset>
                </wp:positionH>
                <wp:positionV relativeFrom="paragraph">
                  <wp:posOffset>-549910</wp:posOffset>
                </wp:positionV>
                <wp:extent cx="1514475" cy="495300"/>
                <wp:effectExtent l="0" t="0" r="28575" b="19050"/>
                <wp:wrapNone/>
                <wp:docPr id="1026" name="Прямоугольник 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14475" cy="495300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26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</w:rPr>
                              <w:t>Должностное лицо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26" fillcolor="white" stroked="t" style="position:absolute;margin-left:585.15pt;margin-top:-43.3pt;width:119.25pt;height:39.0pt;z-index:25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</w:rPr>
                        <w:t>Должностное лицо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column">
                  <wp:posOffset>5640705</wp:posOffset>
                </wp:positionH>
                <wp:positionV relativeFrom="paragraph">
                  <wp:posOffset>-549910</wp:posOffset>
                </wp:positionV>
                <wp:extent cx="1349375" cy="495300"/>
                <wp:effectExtent l="0" t="0" r="22225" b="19050"/>
                <wp:wrapNone/>
                <wp:docPr id="1027" name="Прямоугольник 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49375" cy="495300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27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</w:rPr>
                              <w:t>Юрлицо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27" fillcolor="white" stroked="t" style="position:absolute;margin-left:444.15pt;margin-top:-43.3pt;width:106.25pt;height:39.0pt;z-index:4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</w:rPr>
                        <w:t>Юрлицо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68580</wp:posOffset>
                </wp:positionH>
                <wp:positionV relativeFrom="paragraph">
                  <wp:posOffset>-549910</wp:posOffset>
                </wp:positionV>
                <wp:extent cx="1349375" cy="495300"/>
                <wp:effectExtent l="0" t="0" r="22225" b="19050"/>
                <wp:wrapNone/>
                <wp:docPr id="1028" name="Прямоугольник 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49375" cy="495300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28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</w:rPr>
                              <w:t>Статья КоАП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28" fillcolor="white" stroked="t" style="position:absolute;margin-left:5.4pt;margin-top:-43.3pt;width:106.25pt;height:39.0pt;z-index:2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</w:rPr>
                        <w:t>Статья КоАП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column">
                  <wp:posOffset>1897380</wp:posOffset>
                </wp:positionH>
                <wp:positionV relativeFrom="paragraph">
                  <wp:posOffset>-549910</wp:posOffset>
                </wp:positionV>
                <wp:extent cx="3476625" cy="495300"/>
                <wp:effectExtent l="0" t="0" r="28575" b="19050"/>
                <wp:wrapNone/>
                <wp:docPr id="1029" name="Прямоугольник 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476625" cy="495300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29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</w:rPr>
                              <w:t>Суть нарушения</w:t>
                            </w: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ТСЖ </w:t>
                            </w:r>
                          </w:p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</w:rPr>
                              <w:t>(в управлении 1 МКД (40 помещений))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29" fillcolor="white" stroked="t" style="position:absolute;margin-left:149.4pt;margin-top:-43.3pt;width:273.75pt;height:39.0pt;z-index:3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</w:rPr>
                      </w:pPr>
                      <w:r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</w:rPr>
                        <w:t>Суть нарушения</w:t>
                      </w:r>
                      <w:r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</w:rPr>
                        <w:t xml:space="preserve"> ТСЖ </w:t>
                      </w:r>
                    </w:p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</w:rPr>
                        <w:t>(в управлении 1 МКД (40 помещений))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24" behindDoc="false" locked="false" layoutInCell="true" allowOverlap="true">
                <wp:simplePos x="0" y="0"/>
                <wp:positionH relativeFrom="column">
                  <wp:posOffset>5640705</wp:posOffset>
                </wp:positionH>
                <wp:positionV relativeFrom="paragraph">
                  <wp:posOffset>4412615</wp:posOffset>
                </wp:positionV>
                <wp:extent cx="1543050" cy="1247775"/>
                <wp:effectExtent l="0" t="0" r="19050" b="28575"/>
                <wp:wrapNone/>
                <wp:docPr id="1030" name="Прямоугольник 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43050" cy="1247775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0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115 000 руб. </w:t>
                            </w: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в </w:t>
                            </w: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 xml:space="preserve">2,87 раза больше платы за содержание </w:t>
                            </w: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МКД в месяц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0" fillcolor="white" stroked="t" style="position:absolute;margin-left:444.15pt;margin-top:347.45pt;width:121.5pt;height:98.25pt;z-index:24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 xml:space="preserve">115 000 руб. </w:t>
                      </w:r>
                      <w:r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 xml:space="preserve"> в </w:t>
                      </w:r>
                      <w:r>
                        <w:rPr>
                          <w:rFonts w:ascii="Calibri" w:cs="宋体" w:hAnsi="Calibri"/>
                          <w:b/>
                          <w:bCs/>
                          <w:color w:val="ff0000"/>
                          <w:kern w:val="24"/>
                          <w:sz w:val="28"/>
                          <w:szCs w:val="28"/>
                        </w:rPr>
                        <w:t xml:space="preserve">2,87 раза больше платы за содержание </w:t>
                      </w:r>
                      <w:r>
                        <w:rPr>
                          <w:rFonts w:ascii="Calibri" w:cs="宋体" w:hAnsi="Calibri"/>
                          <w:b/>
                          <w:bCs/>
                          <w:color w:val="ff0000"/>
                          <w:kern w:val="24"/>
                          <w:sz w:val="28"/>
                          <w:szCs w:val="28"/>
                        </w:rPr>
                        <w:t>МКД в месяц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68580</wp:posOffset>
                </wp:positionH>
                <wp:positionV relativeFrom="paragraph">
                  <wp:posOffset>50165</wp:posOffset>
                </wp:positionV>
                <wp:extent cx="1349375" cy="542925"/>
                <wp:effectExtent l="0" t="0" r="22225" b="28575"/>
                <wp:wrapNone/>
                <wp:docPr id="1031" name="Прямоугольник 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49375" cy="542925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1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п.1 ст.13.19.2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1" fillcolor="white" stroked="t" style="position:absolute;margin-left:5.4pt;margin-top:3.95pt;width:106.25pt;height:42.75pt;z-index:5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>п.1 ст.13.19.2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6" behindDoc="false" locked="false" layoutInCell="true" allowOverlap="true">
                <wp:simplePos x="0" y="0"/>
                <wp:positionH relativeFrom="column">
                  <wp:posOffset>1897380</wp:posOffset>
                </wp:positionH>
                <wp:positionV relativeFrom="paragraph">
                  <wp:posOffset>50165</wp:posOffset>
                </wp:positionV>
                <wp:extent cx="3476625" cy="542925"/>
                <wp:effectExtent l="0" t="0" r="28575" b="28575"/>
                <wp:wrapNone/>
                <wp:docPr id="1032" name="Прямоугольник 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476625" cy="542925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2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Недостоверная информация о площади 10  помещений (</w:t>
                            </w:r>
                            <w:r>
                              <w:rPr>
                                <w:rFonts w:ascii="Calibri" w:cs="宋体" w:hAnsi="Calibri"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информации в ТСЖ нет</w:t>
                            </w: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2" fillcolor="white" stroked="t" style="position:absolute;margin-left:149.4pt;margin-top:3.95pt;width:273.75pt;height:42.75pt;z-index:6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>Недостоверная информация о площади 10  помещений (</w:t>
                      </w:r>
                      <w:r>
                        <w:rPr>
                          <w:rFonts w:ascii="Calibri" w:cs="宋体" w:hAnsi="Calibri"/>
                          <w:color w:val="ff0000"/>
                          <w:kern w:val="24"/>
                          <w:sz w:val="28"/>
                          <w:szCs w:val="28"/>
                        </w:rPr>
                        <w:t>информации в ТСЖ нет</w:t>
                      </w: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26" behindDoc="false" locked="false" layoutInCell="true" allowOverlap="true">
                <wp:simplePos x="0" y="0"/>
                <wp:positionH relativeFrom="column">
                  <wp:posOffset>7431405</wp:posOffset>
                </wp:positionH>
                <wp:positionV relativeFrom="paragraph">
                  <wp:posOffset>50165</wp:posOffset>
                </wp:positionV>
                <wp:extent cx="1412240" cy="542925"/>
                <wp:effectExtent l="0" t="0" r="16510" b="28575"/>
                <wp:wrapNone/>
                <wp:docPr id="1033" name="Прямоугольник 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2240" cy="542925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3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100 руб. * 10 </w:t>
                            </w:r>
                          </w:p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= 1</w:t>
                            </w: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000 руб. 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3" fillcolor="white" stroked="t" style="position:absolute;margin-left:585.15pt;margin-top:3.95pt;width:111.2pt;height:42.75pt;z-index:26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100 руб. * 10 </w:t>
                      </w:r>
                    </w:p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>= 1</w:t>
                      </w:r>
                      <w:r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 xml:space="preserve"> 000 руб.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7" behindDoc="false" locked="false" layoutInCell="true" allowOverlap="true">
                <wp:simplePos x="0" y="0"/>
                <wp:positionH relativeFrom="column">
                  <wp:posOffset>5640705</wp:posOffset>
                </wp:positionH>
                <wp:positionV relativeFrom="paragraph">
                  <wp:posOffset>50164</wp:posOffset>
                </wp:positionV>
                <wp:extent cx="1349375" cy="542925"/>
                <wp:effectExtent l="0" t="0" r="22225" b="28575"/>
                <wp:wrapNone/>
                <wp:docPr id="1034" name="Прямоугольник 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49375" cy="542925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4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500 руб. * 10 </w:t>
                            </w:r>
                          </w:p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= </w:t>
                            </w: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5 000 руб. 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4" fillcolor="white" stroked="t" style="position:absolute;margin-left:444.15pt;margin-top:3.95pt;width:106.25pt;height:42.75pt;z-index:7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500 руб. * 10 </w:t>
                      </w:r>
                    </w:p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= </w:t>
                      </w:r>
                      <w:r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 xml:space="preserve">5 000 руб.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21" behindDoc="false" locked="false" layoutInCell="true" allowOverlap="true">
                <wp:simplePos x="0" y="0"/>
                <wp:positionH relativeFrom="column">
                  <wp:posOffset>1897380</wp:posOffset>
                </wp:positionH>
                <wp:positionV relativeFrom="paragraph">
                  <wp:posOffset>3717289</wp:posOffset>
                </wp:positionV>
                <wp:extent cx="3476625" cy="552450"/>
                <wp:effectExtent l="0" t="0" r="28575" b="19050"/>
                <wp:wrapNone/>
                <wp:docPr id="1035" name="Прямоугольник 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476625" cy="552450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5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Повторное нарушение по п.1 и п.3 ст.13.19.2 КоАП РФ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5" fillcolor="white" stroked="t" style="position:absolute;margin-left:149.4pt;margin-top:292.7pt;width:273.75pt;height:43.5pt;z-index:21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ff0000"/>
                          <w:kern w:val="24"/>
                          <w:sz w:val="28"/>
                          <w:szCs w:val="28"/>
                        </w:rPr>
                        <w:t>Повторное нарушение по п.1 и п.3 ст.13.19.2 КоАП РФ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18" behindDoc="false" locked="false" layoutInCell="true" allowOverlap="true">
                <wp:simplePos x="0" y="0"/>
                <wp:positionH relativeFrom="column">
                  <wp:posOffset>1897380</wp:posOffset>
                </wp:positionH>
                <wp:positionV relativeFrom="paragraph">
                  <wp:posOffset>2650490</wp:posOffset>
                </wp:positionV>
                <wp:extent cx="3476625" cy="962025"/>
                <wp:effectExtent l="0" t="0" r="28575" b="28575"/>
                <wp:wrapNone/>
                <wp:docPr id="1036" name="Прямоугольник 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476625" cy="962025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6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Размещение недостоверной информации по размеру платы (1 месяц), так как </w:t>
                            </w:r>
                            <w:r>
                              <w:rPr>
                                <w:rFonts w:ascii="Calibri" w:cs="宋体" w:hAnsi="Calibri"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есть недоработки НПА или недостоверная информация от собственников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6" fillcolor="white" stroked="t" style="position:absolute;margin-left:149.4pt;margin-top:208.7pt;width:273.75pt;height:75.75pt;z-index:18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Размещение недостоверной информации по размеру платы (1 месяц), так как </w:t>
                      </w:r>
                      <w:r>
                        <w:rPr>
                          <w:rFonts w:ascii="Calibri" w:cs="宋体" w:hAnsi="Calibri"/>
                          <w:color w:val="ff0000"/>
                          <w:kern w:val="24"/>
                          <w:sz w:val="28"/>
                          <w:szCs w:val="28"/>
                        </w:rPr>
                        <w:t>есть недоработки НПА или недостоверная информация от собственников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15" behindDoc="false" locked="false" layoutInCell="true" allowOverlap="true">
                <wp:simplePos x="0" y="0"/>
                <wp:positionH relativeFrom="column">
                  <wp:posOffset>1897380</wp:posOffset>
                </wp:positionH>
                <wp:positionV relativeFrom="paragraph">
                  <wp:posOffset>1955165</wp:posOffset>
                </wp:positionV>
                <wp:extent cx="3476625" cy="542925"/>
                <wp:effectExtent l="0" t="0" r="28575" b="28575"/>
                <wp:wrapNone/>
                <wp:docPr id="1037" name="Прямоугольник 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476625" cy="542925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7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Не удалось разместить информацию в ГИС, </w:t>
                            </w:r>
                            <w:r>
                              <w:rPr>
                                <w:rFonts w:ascii="Calibri" w:cs="宋体" w:hAnsi="Calibri"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так как ГИС не работает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7" fillcolor="white" stroked="t" style="position:absolute;margin-left:149.4pt;margin-top:153.95pt;width:273.75pt;height:42.75pt;z-index:15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Не удалось разместить информацию в ГИС, </w:t>
                      </w:r>
                      <w:r>
                        <w:rPr>
                          <w:rFonts w:ascii="Calibri" w:cs="宋体" w:hAnsi="Calibri"/>
                          <w:color w:val="ff0000"/>
                          <w:kern w:val="24"/>
                          <w:sz w:val="28"/>
                          <w:szCs w:val="28"/>
                        </w:rPr>
                        <w:t>так как ГИС не работает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12" behindDoc="false" locked="false" layoutInCell="true" allowOverlap="true">
                <wp:simplePos x="0" y="0"/>
                <wp:positionH relativeFrom="column">
                  <wp:posOffset>1897380</wp:posOffset>
                </wp:positionH>
                <wp:positionV relativeFrom="paragraph">
                  <wp:posOffset>1316990</wp:posOffset>
                </wp:positionV>
                <wp:extent cx="3476625" cy="523875"/>
                <wp:effectExtent l="0" t="0" r="28575" b="28575"/>
                <wp:wrapNone/>
                <wp:docPr id="1038" name="Прямоугольник 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476625" cy="523875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8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«Слетела» ранее внесенная информация в ГИС, </w:t>
                            </w:r>
                            <w:r>
                              <w:rPr>
                                <w:rFonts w:ascii="Calibri" w:cs="宋体" w:hAnsi="Calibri"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из-за обновления или сбоя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8" fillcolor="white" stroked="t" style="position:absolute;margin-left:149.4pt;margin-top:103.7pt;width:273.75pt;height:41.25pt;z-index:12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«Слетела» ранее внесенная информация в ГИС, </w:t>
                      </w:r>
                      <w:r>
                        <w:rPr>
                          <w:rFonts w:ascii="Calibri" w:cs="宋体" w:hAnsi="Calibri"/>
                          <w:color w:val="ff0000"/>
                          <w:kern w:val="24"/>
                          <w:sz w:val="28"/>
                          <w:szCs w:val="28"/>
                        </w:rPr>
                        <w:t>из-за обновления или сбоя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9" behindDoc="false" locked="false" layoutInCell="true" allowOverlap="true">
                <wp:simplePos x="0" y="0"/>
                <wp:positionH relativeFrom="column">
                  <wp:posOffset>1897380</wp:posOffset>
                </wp:positionH>
                <wp:positionV relativeFrom="paragraph">
                  <wp:posOffset>669290</wp:posOffset>
                </wp:positionV>
                <wp:extent cx="3476625" cy="552449"/>
                <wp:effectExtent l="0" t="0" r="28575" b="19050"/>
                <wp:wrapNone/>
                <wp:docPr id="1039" name="Прямоугольник 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476625" cy="552449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9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Не удалось разместить информацию в ГИС, </w:t>
                            </w:r>
                            <w:r>
                              <w:rPr>
                                <w:rFonts w:ascii="Calibri" w:cs="宋体" w:hAnsi="Calibri"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так как оператор не сменил УК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9" fillcolor="white" stroked="t" style="position:absolute;margin-left:149.4pt;margin-top:52.7pt;width:273.75pt;height:43.5pt;z-index:9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Не удалось разместить информацию в ГИС, </w:t>
                      </w:r>
                      <w:r>
                        <w:rPr>
                          <w:rFonts w:ascii="Calibri" w:cs="宋体" w:hAnsi="Calibri"/>
                          <w:color w:val="ff0000"/>
                          <w:kern w:val="24"/>
                          <w:sz w:val="28"/>
                          <w:szCs w:val="28"/>
                        </w:rPr>
                        <w:t>так как оператор не сменил УК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22" behindDoc="false" locked="false" layoutInCell="true" allowOverlap="true">
                <wp:simplePos x="0" y="0"/>
                <wp:positionH relativeFrom="column">
                  <wp:posOffset>5640705</wp:posOffset>
                </wp:positionH>
                <wp:positionV relativeFrom="paragraph">
                  <wp:posOffset>3612515</wp:posOffset>
                </wp:positionV>
                <wp:extent cx="1349375" cy="714375"/>
                <wp:effectExtent l="0" t="0" r="22225" b="28575"/>
                <wp:wrapNone/>
                <wp:docPr id="1040" name="Прямоугольник 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49375" cy="714375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40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480 000 руб. * 10% </w:t>
                            </w:r>
                          </w:p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=</w:t>
                            </w: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48 000 руб.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40" fillcolor="white" stroked="t" style="position:absolute;margin-left:444.15pt;margin-top:284.45pt;width:106.25pt;height:56.25pt;z-index:22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480 000 руб. * 10% </w:t>
                      </w:r>
                    </w:p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>=</w:t>
                      </w:r>
                      <w:r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 xml:space="preserve"> 48 000 руб.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20" behindDoc="false" locked="false" layoutInCell="true" allowOverlap="true">
                <wp:simplePos x="0" y="0"/>
                <wp:positionH relativeFrom="column">
                  <wp:posOffset>68580</wp:posOffset>
                </wp:positionH>
                <wp:positionV relativeFrom="paragraph">
                  <wp:posOffset>3612515</wp:posOffset>
                </wp:positionV>
                <wp:extent cx="1349375" cy="657225"/>
                <wp:effectExtent l="0" t="0" r="22225" b="28575"/>
                <wp:wrapNone/>
                <wp:docPr id="1041" name="Прямоугольник 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49375" cy="657225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41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п.4 ст.13.19.2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41" fillcolor="white" stroked="t" style="position:absolute;margin-left:5.4pt;margin-top:284.45pt;width:106.25pt;height:51.75pt;z-index:20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>п.4 ст.13.19.2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16" behindDoc="false" locked="false" layoutInCell="true" allowOverlap="true">
                <wp:simplePos x="0" y="0"/>
                <wp:positionH relativeFrom="column">
                  <wp:posOffset>5640705</wp:posOffset>
                </wp:positionH>
                <wp:positionV relativeFrom="paragraph">
                  <wp:posOffset>1955165</wp:posOffset>
                </wp:positionV>
                <wp:extent cx="1349375" cy="542925"/>
                <wp:effectExtent l="0" t="0" r="22225" b="28575"/>
                <wp:wrapNone/>
                <wp:docPr id="1042" name="Прямоугольник 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49375" cy="542925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42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500 руб. * 40 </w:t>
                            </w:r>
                          </w:p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= </w:t>
                            </w: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20 000 руб. 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42" fillcolor="white" stroked="t" style="position:absolute;margin-left:444.15pt;margin-top:153.95pt;width:106.25pt;height:42.75pt;z-index:16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500 руб. * 40 </w:t>
                      </w:r>
                    </w:p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= </w:t>
                      </w:r>
                      <w:r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 xml:space="preserve">20 000 руб.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29" behindDoc="false" locked="false" layoutInCell="true" allowOverlap="true">
                <wp:simplePos x="0" y="0"/>
                <wp:positionH relativeFrom="column">
                  <wp:posOffset>7431405</wp:posOffset>
                </wp:positionH>
                <wp:positionV relativeFrom="paragraph">
                  <wp:posOffset>1955165</wp:posOffset>
                </wp:positionV>
                <wp:extent cx="1412240" cy="542925"/>
                <wp:effectExtent l="0" t="0" r="16510" b="28575"/>
                <wp:wrapNone/>
                <wp:docPr id="1043" name="Прямоугольник 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2240" cy="542925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43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100 руб. * 40 </w:t>
                            </w:r>
                          </w:p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= </w:t>
                            </w: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4 000 руб. 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43" fillcolor="white" stroked="t" style="position:absolute;margin-left:585.15pt;margin-top:153.95pt;width:111.2pt;height:42.75pt;z-index:29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100 руб. * 40 </w:t>
                      </w:r>
                    </w:p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= </w:t>
                      </w:r>
                      <w:r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 xml:space="preserve">4 000 руб.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28" behindDoc="false" locked="false" layoutInCell="true" allowOverlap="true">
                <wp:simplePos x="0" y="0"/>
                <wp:positionH relativeFrom="column">
                  <wp:posOffset>7431405</wp:posOffset>
                </wp:positionH>
                <wp:positionV relativeFrom="paragraph">
                  <wp:posOffset>1316990</wp:posOffset>
                </wp:positionV>
                <wp:extent cx="1412240" cy="523875"/>
                <wp:effectExtent l="0" t="0" r="16510" b="28575"/>
                <wp:wrapNone/>
                <wp:docPr id="1044" name="Прямоугольник 3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2240" cy="523875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44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100 руб. * 40 </w:t>
                            </w:r>
                          </w:p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= </w:t>
                            </w: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4 000 руб. 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44" fillcolor="white" stroked="t" style="position:absolute;margin-left:585.15pt;margin-top:103.7pt;width:111.2pt;height:41.25pt;z-index:28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100 руб. * 40 </w:t>
                      </w:r>
                    </w:p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= </w:t>
                      </w:r>
                      <w:r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 xml:space="preserve">4 000 руб.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13" behindDoc="false" locked="false" layoutInCell="true" allowOverlap="true">
                <wp:simplePos x="0" y="0"/>
                <wp:positionH relativeFrom="column">
                  <wp:posOffset>5640705</wp:posOffset>
                </wp:positionH>
                <wp:positionV relativeFrom="paragraph">
                  <wp:posOffset>1316990</wp:posOffset>
                </wp:positionV>
                <wp:extent cx="1349375" cy="523875"/>
                <wp:effectExtent l="0" t="0" r="22225" b="28575"/>
                <wp:wrapNone/>
                <wp:docPr id="1045" name="Прямоугольник 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49375" cy="523875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45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500 руб. * 40 </w:t>
                            </w:r>
                          </w:p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= </w:t>
                            </w: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20 000 руб. 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45" fillcolor="white" stroked="t" style="position:absolute;margin-left:444.15pt;margin-top:103.7pt;width:106.25pt;height:41.25pt;z-index:13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500 руб. * 40 </w:t>
                      </w:r>
                    </w:p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= </w:t>
                      </w:r>
                      <w:r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 xml:space="preserve">20 000 руб.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27" behindDoc="false" locked="false" layoutInCell="true" allowOverlap="true">
                <wp:simplePos x="0" y="0"/>
                <wp:positionH relativeFrom="column">
                  <wp:posOffset>7431405</wp:posOffset>
                </wp:positionH>
                <wp:positionV relativeFrom="paragraph">
                  <wp:posOffset>669290</wp:posOffset>
                </wp:positionV>
                <wp:extent cx="1412240" cy="552449"/>
                <wp:effectExtent l="0" t="0" r="16510" b="19050"/>
                <wp:wrapNone/>
                <wp:docPr id="1046" name="Прямоугольник 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2240" cy="552449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46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100 руб. * 40 </w:t>
                            </w:r>
                          </w:p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= </w:t>
                            </w: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4 000 руб. 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46" fillcolor="white" stroked="t" style="position:absolute;margin-left:585.15pt;margin-top:52.7pt;width:111.2pt;height:43.5pt;z-index:27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100 руб. * 40 </w:t>
                      </w:r>
                    </w:p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= </w:t>
                      </w:r>
                      <w:r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 xml:space="preserve">4 000 руб.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10" behindDoc="false" locked="false" layoutInCell="true" allowOverlap="true">
                <wp:simplePos x="0" y="0"/>
                <wp:positionH relativeFrom="column">
                  <wp:posOffset>5640705</wp:posOffset>
                </wp:positionH>
                <wp:positionV relativeFrom="paragraph">
                  <wp:posOffset>669290</wp:posOffset>
                </wp:positionV>
                <wp:extent cx="1349375" cy="552449"/>
                <wp:effectExtent l="0" t="0" r="22225" b="19050"/>
                <wp:wrapNone/>
                <wp:docPr id="1047" name="Прямоугольник 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49375" cy="552449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47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500 руб. * 40 </w:t>
                            </w:r>
                          </w:p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= </w:t>
                            </w: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20 000 руб. 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47" fillcolor="white" stroked="t" style="position:absolute;margin-left:444.15pt;margin-top:52.7pt;width:106.25pt;height:43.5pt;z-index:10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500 руб. * 40 </w:t>
                      </w:r>
                    </w:p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= </w:t>
                      </w:r>
                      <w:r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 xml:space="preserve">20 000 руб.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32" behindDoc="false" locked="false" layoutInCell="true" allowOverlap="true">
                <wp:simplePos x="0" y="0"/>
                <wp:positionH relativeFrom="column">
                  <wp:posOffset>7434579</wp:posOffset>
                </wp:positionH>
                <wp:positionV relativeFrom="paragraph">
                  <wp:posOffset>4414520</wp:posOffset>
                </wp:positionV>
                <wp:extent cx="1412240" cy="1051559"/>
                <wp:effectExtent l="0" t="0" r="16510" b="15240"/>
                <wp:wrapNone/>
                <wp:docPr id="1048" name="Прямоугольник 3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2240" cy="1051559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48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17 000 р.</w:t>
                            </w:r>
                          </w:p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(сопоставимо с зарплатой сотрудника за месяц)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48" fillcolor="white" stroked="t" style="position:absolute;margin-left:585.4pt;margin-top:347.6pt;width:111.2pt;height:82.8pt;z-index:32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17 000 р.</w:t>
                      </w:r>
                    </w:p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(сопоставимо с зарплатой сотрудника за месяц)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31" behindDoc="false" locked="false" layoutInCell="true" allowOverlap="true">
                <wp:simplePos x="0" y="0"/>
                <wp:positionH relativeFrom="column">
                  <wp:posOffset>7434579</wp:posOffset>
                </wp:positionH>
                <wp:positionV relativeFrom="paragraph">
                  <wp:posOffset>3614420</wp:posOffset>
                </wp:positionV>
                <wp:extent cx="1412240" cy="494665"/>
                <wp:effectExtent l="0" t="0" r="16510" b="19685"/>
                <wp:wrapNone/>
                <wp:docPr id="1049" name="Прямоугольник 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2240" cy="494665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49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49" fillcolor="white" stroked="t" style="position:absolute;margin-left:585.4pt;margin-top:284.6pt;width:111.2pt;height:38.95pt;z-index:31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30" behindDoc="false" locked="false" layoutInCell="true" allowOverlap="true">
                <wp:simplePos x="0" y="0"/>
                <wp:positionH relativeFrom="column">
                  <wp:posOffset>7434579</wp:posOffset>
                </wp:positionH>
                <wp:positionV relativeFrom="paragraph">
                  <wp:posOffset>2652395</wp:posOffset>
                </wp:positionV>
                <wp:extent cx="1412240" cy="742314"/>
                <wp:effectExtent l="0" t="0" r="16510" b="19685"/>
                <wp:wrapNone/>
                <wp:docPr id="1050" name="Прямоугольник 3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2240" cy="742314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50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100 руб. * 40 </w:t>
                            </w:r>
                          </w:p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=</w:t>
                            </w: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4 000 руб.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50" fillcolor="white" stroked="t" style="position:absolute;margin-left:585.4pt;margin-top:208.85pt;width:111.2pt;height:58.45pt;z-index:30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100 руб. * 40 </w:t>
                      </w:r>
                    </w:p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>=</w:t>
                      </w:r>
                      <w:r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 xml:space="preserve"> 4 000 руб.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23" behindDoc="false" locked="false" layoutInCell="true" allowOverlap="true">
                <wp:simplePos x="0" y="0"/>
                <wp:positionH relativeFrom="column">
                  <wp:posOffset>712470</wp:posOffset>
                </wp:positionH>
                <wp:positionV relativeFrom="paragraph">
                  <wp:posOffset>4414520</wp:posOffset>
                </wp:positionV>
                <wp:extent cx="4497070" cy="1051559"/>
                <wp:effectExtent l="0" t="0" r="17780" b="15240"/>
                <wp:wrapNone/>
                <wp:docPr id="1051" name="Прямоугольник 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497070" cy="1051559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51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Итого штрафов </w:t>
                            </w: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за месяц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51" fillcolor="white" stroked="t" style="position:absolute;margin-left:56.1pt;margin-top:347.6pt;width:354.1pt;height:82.8pt;z-index:23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Итого штрафов </w:t>
                      </w:r>
                      <w:r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за месяц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19" behindDoc="false" locked="false" layoutInCell="true" allowOverlap="true">
                <wp:simplePos x="0" y="0"/>
                <wp:positionH relativeFrom="column">
                  <wp:posOffset>5640070</wp:posOffset>
                </wp:positionH>
                <wp:positionV relativeFrom="paragraph">
                  <wp:posOffset>2652395</wp:posOffset>
                </wp:positionV>
                <wp:extent cx="1349374" cy="742314"/>
                <wp:effectExtent l="0" t="0" r="22225" b="19685"/>
                <wp:wrapNone/>
                <wp:docPr id="1052" name="Прямоугольник 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49374" cy="742314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52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40 000 руб. * 5% </w:t>
                            </w:r>
                          </w:p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=</w:t>
                            </w:r>
                            <w:r>
                              <w:rPr>
                                <w:rFonts w:ascii="Calibri" w:cs="宋体" w:hAnsi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2 000 руб.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52" fillcolor="white" stroked="t" style="position:absolute;margin-left:444.1pt;margin-top:208.85pt;width:106.25pt;height:58.45pt;z-index:19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 xml:space="preserve">40 000 руб. * 5% </w:t>
                      </w:r>
                    </w:p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>=</w:t>
                      </w:r>
                      <w:r>
                        <w:rPr>
                          <w:rFonts w:ascii="Calibri" w:cs="宋体" w:hAnsi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 xml:space="preserve"> 2 000 руб.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17" behindDoc="false" locked="false" layoutInCell="true" allowOverlap="true">
                <wp:simplePos x="0" y="0"/>
                <wp:positionH relativeFrom="column">
                  <wp:posOffset>67945</wp:posOffset>
                </wp:positionH>
                <wp:positionV relativeFrom="paragraph">
                  <wp:posOffset>2652395</wp:posOffset>
                </wp:positionV>
                <wp:extent cx="1349375" cy="742314"/>
                <wp:effectExtent l="0" t="0" r="22225" b="19685"/>
                <wp:wrapNone/>
                <wp:docPr id="1053" name="Прямоугольник 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49375" cy="742314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53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п.3 ст.13.19.2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53" fillcolor="white" stroked="t" style="position:absolute;margin-left:5.35pt;margin-top:208.85pt;width:106.25pt;height:58.45pt;z-index:17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>п.3 ст.13.19.2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14" behindDoc="false" locked="false" layoutInCell="true" allowOverlap="true">
                <wp:simplePos x="0" y="0"/>
                <wp:positionH relativeFrom="column">
                  <wp:posOffset>67945</wp:posOffset>
                </wp:positionH>
                <wp:positionV relativeFrom="paragraph">
                  <wp:posOffset>1957070</wp:posOffset>
                </wp:positionV>
                <wp:extent cx="1349375" cy="432435"/>
                <wp:effectExtent l="0" t="0" r="22225" b="24765"/>
                <wp:wrapNone/>
                <wp:docPr id="1054" name="Прямоугольник 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49375" cy="432435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54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п.1 ст.13.19.2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54" fillcolor="white" stroked="t" style="position:absolute;margin-left:5.35pt;margin-top:154.1pt;width:106.25pt;height:34.05pt;z-index:14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>п.1 ст.13.19.2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11" behindDoc="false" locked="false" layoutInCell="true" allowOverlap="true">
                <wp:simplePos x="0" y="0"/>
                <wp:positionH relativeFrom="column">
                  <wp:posOffset>67945</wp:posOffset>
                </wp:positionH>
                <wp:positionV relativeFrom="paragraph">
                  <wp:posOffset>1318895</wp:posOffset>
                </wp:positionV>
                <wp:extent cx="1349375" cy="432434"/>
                <wp:effectExtent l="0" t="0" r="22225" b="24765"/>
                <wp:wrapNone/>
                <wp:docPr id="1055" name="Прямоугольник 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49375" cy="432434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55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п.1 ст.13.19.2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55" fillcolor="white" stroked="t" style="position:absolute;margin-left:5.35pt;margin-top:103.85pt;width:106.25pt;height:34.05pt;z-index:11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>п.1 ст.13.19.2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false" relativeHeight="8" behindDoc="false" locked="false" layoutInCell="true" allowOverlap="true">
                <wp:simplePos x="0" y="0"/>
                <wp:positionH relativeFrom="column">
                  <wp:posOffset>67945</wp:posOffset>
                </wp:positionH>
                <wp:positionV relativeFrom="paragraph">
                  <wp:posOffset>671195</wp:posOffset>
                </wp:positionV>
                <wp:extent cx="1349375" cy="432435"/>
                <wp:effectExtent l="0" t="0" r="22225" b="24765"/>
                <wp:wrapNone/>
                <wp:docPr id="1056" name="Прямоугольник 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49375" cy="432435"/>
                        </a:xfrm>
                        <a:prstGeom prst="rect"/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56">
                        <w:txbxContent>
                          <w:p>
                            <w:pPr>
                              <w:pStyle w:val="style94"/>
                              <w:spacing w:after="0"/>
                              <w:jc w:val="center"/>
                              <w:textAlignment w:val="baseline"/>
                              <w:rPr/>
                            </w:pPr>
                            <w:r>
                              <w:rPr>
                                <w:rFonts w:ascii="Calibri" w:cs="宋体" w:hAnsi="Calibr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п.1 ст.13.19.2</w:t>
                            </w:r>
                          </w:p>
                        </w:txbxContent>
                      </wps:txbx>
                      <wps:bodyPr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56" fillcolor="white" stroked="t" style="position:absolute;margin-left:5.35pt;margin-top:52.85pt;width:106.25pt;height:34.05pt;z-index:8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color="#4f81bd" weight="2.0pt"/>
                <v:fill/>
                <v:textbox>
                  <w:txbxContent>
                    <w:p>
                      <w:pPr>
                        <w:pStyle w:val="style94"/>
                        <w:spacing w:after="0"/>
                        <w:jc w:val="center"/>
                        <w:textAlignment w:val="baseline"/>
                        <w:rPr/>
                      </w:pPr>
                      <w:r>
                        <w:rPr>
                          <w:rFonts w:ascii="Calibri" w:cs="宋体" w:hAnsi="Calibri"/>
                          <w:color w:val="000000"/>
                          <w:kern w:val="24"/>
                          <w:sz w:val="28"/>
                          <w:szCs w:val="28"/>
                        </w:rPr>
                        <w:t>п.1 ст.13.19.2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cs="Times New Roman" w:hAnsi="Times New Roman"/>
          <w:b/>
          <w:sz w:val="20"/>
          <w:szCs w:val="20"/>
        </w:rPr>
        <w:br w:type="page"/>
      </w:r>
    </w:p>
    <w:p>
      <w:pPr>
        <w:pStyle w:val="style0"/>
        <w:spacing w:after="0" w:lineRule="auto" w:line="240"/>
        <w:ind w:firstLine="709"/>
        <w:jc w:val="right"/>
        <w:rPr>
          <w:rFonts w:ascii="Times New Roman" w:cs="Times New Roman" w:hAnsi="Times New Roman"/>
          <w:b/>
          <w:sz w:val="24"/>
          <w:szCs w:val="24"/>
        </w:rPr>
        <w:sectPr>
          <w:pgSz w:w="16838" w:h="11906" w:orient="landscape"/>
          <w:pgMar w:top="1361" w:right="567" w:bottom="244" w:left="567" w:header="709" w:footer="709" w:gutter="0"/>
          <w:cols w:space="708"/>
          <w:docGrid w:linePitch="360"/>
        </w:sectPr>
      </w:pPr>
    </w:p>
    <w:p>
      <w:pPr>
        <w:pStyle w:val="style0"/>
        <w:spacing w:after="0" w:lineRule="auto" w:line="240"/>
        <w:ind w:firstLine="709"/>
        <w:jc w:val="right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 xml:space="preserve">Приложение </w:t>
      </w:r>
      <w:r>
        <w:rPr>
          <w:rFonts w:ascii="Times New Roman" w:cs="Times New Roman" w:hAnsi="Times New Roman"/>
          <w:i/>
          <w:sz w:val="24"/>
          <w:szCs w:val="24"/>
        </w:rPr>
        <w:t>№ 3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center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Законопроект об уточнении административной и экономической ответственности за неразмещение информации в ГИС ЖКХ</w:t>
      </w:r>
    </w:p>
    <w:p>
      <w:pPr>
        <w:pStyle w:val="style0"/>
        <w:spacing w:after="0" w:lineRule="auto" w:line="240"/>
        <w:ind w:firstLine="709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(предложения отраслевого сообщества)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right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right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right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Проект </w:t>
      </w:r>
    </w:p>
    <w:p>
      <w:pPr>
        <w:pStyle w:val="style3"/>
        <w:keepNext w:val="false"/>
        <w:suppressAutoHyphens/>
        <w:spacing w:lineRule="auto" w:line="240"/>
        <w:jc w:val="center"/>
        <w:rPr>
          <w:sz w:val="24"/>
          <w:szCs w:val="24"/>
        </w:rPr>
      </w:pPr>
    </w:p>
    <w:p>
      <w:pPr>
        <w:pStyle w:val="style3"/>
        <w:keepNext w:val="false"/>
        <w:suppressAutoHyphens/>
        <w:spacing w:lineRule="auto" w:line="240"/>
        <w:jc w:val="center"/>
        <w:rPr>
          <w:sz w:val="24"/>
          <w:szCs w:val="24"/>
        </w:rPr>
      </w:pPr>
      <w:r>
        <w:rPr>
          <w:sz w:val="24"/>
          <w:szCs w:val="24"/>
        </w:rPr>
        <w:t>ФЕДЕРАЛЬНЫЙ ЗАКОН</w:t>
      </w:r>
    </w:p>
    <w:p>
      <w:pPr>
        <w:pStyle w:val="style0"/>
        <w:spacing w:after="0" w:lineRule="auto" w:line="240"/>
        <w:ind w:firstLine="709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О внесении изменений в отдельные законодательные акты Российской Федерации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Статья 1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Внести в статью 155 Жилищного кодекса Российской Федерации (Собрание законодательства Российской Федерации, 2008, № 30, ст. 3616; 2009, № 23, ст. 2776; 2011, № 23, ст. 3263; 2013, № 14, ст. 1646; 2012, № 53, ст. 7596; 2013, № 14, ст. 1646; 2014, № 30, ст. 4264, 4218; 2015, № 1, ст. 11; № 27, ст. 3967; № 45, ст. 6208; 2016, № 27, ст. 4288) следующие изменения:</w:t>
      </w:r>
    </w:p>
    <w:p>
      <w:pPr>
        <w:pStyle w:val="style0"/>
        <w:numPr>
          <w:ilvl w:val="0"/>
          <w:numId w:val="11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части 2.2 и 2.3 исключить;</w:t>
      </w:r>
    </w:p>
    <w:p>
      <w:pPr>
        <w:pStyle w:val="style0"/>
        <w:numPr>
          <w:ilvl w:val="0"/>
          <w:numId w:val="11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дополнить часть 14 предложением следующего содержания: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«В случае неразмещения информации о размере платы за жилое помещение и коммунальные услуги, задолженности по оплате жилого помещения и коммунальных услуг в системе предусмотренные настоящей частью пени не подлежат оплате за период, в течение которого соответствующая информация отсутствовала в системе, при условии фиксации в системе факта отсутствия указанной информации.»;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3) дополнить часть 14</w:t>
      </w:r>
      <w:r>
        <w:rPr>
          <w:rFonts w:ascii="Times New Roman" w:cs="Times New Roman" w:hAnsi="Times New Roman"/>
          <w:sz w:val="24"/>
          <w:szCs w:val="24"/>
          <w:vertAlign w:val="superscript"/>
        </w:rPr>
        <w:t xml:space="preserve">1 </w:t>
      </w:r>
      <w:r>
        <w:rPr>
          <w:rFonts w:ascii="Times New Roman" w:cs="Times New Roman" w:hAnsi="Times New Roman"/>
          <w:sz w:val="24"/>
          <w:szCs w:val="24"/>
        </w:rPr>
        <w:t>предложением следующего содержания: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«В случае неразмещения информации о размере взноса на капитальный ремонт в системе предусмотренные настоящей частью пени не подлежат оплате за период, в течение которого соответствующая информация отсутствовала в системе, при условии фиксации в системе порядке факта отсутствия указанной информации.».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Статья 2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Внести в Кодекс Российской Федерации об административных правонарушениях (Собрание законодательства Российской Федерации, 2008, № 52, ст. 6236; 2009, № 29, ст. 3597; 2014, № 30, ст. 4264, 4256; 2015, № 51, ст. 7250) следующие изменения:</w:t>
      </w:r>
    </w:p>
    <w:p>
      <w:pPr>
        <w:pStyle w:val="style0"/>
        <w:numPr>
          <w:ilvl w:val="0"/>
          <w:numId w:val="13"/>
        </w:numPr>
        <w:autoSpaceDE w:val="false"/>
        <w:autoSpaceDN w:val="false"/>
        <w:adjustRightInd w:val="false"/>
        <w:spacing w:after="0" w:lineRule="auto" w:line="240"/>
        <w:ind w:left="0" w:firstLine="709"/>
        <w:jc w:val="both"/>
        <w:outlineLvl w:val="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в статье 3.5 </w:t>
      </w:r>
      <w:r>
        <w:rPr>
          <w:rFonts w:ascii="Times New Roman" w:cs="Times New Roman" w:hAnsi="Times New Roman"/>
          <w:sz w:val="24"/>
          <w:szCs w:val="24"/>
        </w:rPr>
        <w:t xml:space="preserve">в части 1 слова «предусмотренных </w:t>
      </w:r>
      <w:r>
        <w:rPr/>
        <w:fldChar w:fldCharType="begin"/>
      </w:r>
      <w:r>
        <w:instrText xml:space="preserve"> HYPERLINK "consultantplus://offline/ref=B55915EEB53BEA1A27B5D0A7DA8B2234B2255B5A165E0EE7C16B6553CE2318CC570E1172F0E2FBT6M" </w:instrText>
      </w:r>
      <w:r>
        <w:rPr/>
        <w:fldChar w:fldCharType="separate"/>
      </w:r>
      <w:r>
        <w:rPr>
          <w:rFonts w:ascii="Times New Roman" w:cs="Times New Roman" w:hAnsi="Times New Roman"/>
          <w:sz w:val="24"/>
          <w:szCs w:val="24"/>
        </w:rPr>
        <w:t>статьями 7.1</w:t>
      </w:r>
      <w:r>
        <w:rPr/>
        <w:fldChar w:fldCharType="end"/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/>
        <w:fldChar w:fldCharType="begin"/>
      </w:r>
      <w:r>
        <w:instrText xml:space="preserve"> HYPERLINK "consultantplus://offline/ref=B55915EEB53BEA1A27B5D0A7DA8B2234B2255B5A165E0EE7C16B6553CE2318CC570E1175F5EAFBT1M" </w:instrText>
      </w:r>
      <w:r>
        <w:rPr/>
        <w:fldChar w:fldCharType="separate"/>
      </w:r>
      <w:r>
        <w:rPr>
          <w:rFonts w:ascii="Times New Roman" w:cs="Times New Roman" w:hAnsi="Times New Roman"/>
          <w:sz w:val="24"/>
          <w:szCs w:val="24"/>
        </w:rPr>
        <w:t>7.2</w:t>
      </w:r>
      <w:r>
        <w:rPr/>
        <w:fldChar w:fldCharType="end"/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/>
        <w:fldChar w:fldCharType="begin"/>
      </w:r>
      <w:r>
        <w:instrText xml:space="preserve"> HYPERLINK "consultantplus://offline/ref=B55915EEB53BEA1A27B5D0A7DA8B2234B2255B5A165E0EE7C16B6553CE2318CC570E1172FBE9FBT7M" </w:instrText>
      </w:r>
      <w:r>
        <w:rPr/>
        <w:fldChar w:fldCharType="separate"/>
      </w:r>
      <w:r>
        <w:rPr>
          <w:rFonts w:ascii="Times New Roman" w:cs="Times New Roman" w:hAnsi="Times New Roman"/>
          <w:sz w:val="24"/>
          <w:szCs w:val="24"/>
        </w:rPr>
        <w:t>12.21.3</w:t>
      </w:r>
      <w:r>
        <w:rPr/>
        <w:fldChar w:fldCharType="end"/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/>
        <w:fldChar w:fldCharType="begin"/>
      </w:r>
      <w:r>
        <w:instrText xml:space="preserve"> HYPERLINK "consultantplus://offline/ref=B55915EEB53BEA1A27B5D0A7DA8B2234B2255B5A165E0EE7C16B6553CE2318CC570E1173F4EDFBT4M" </w:instrText>
      </w:r>
      <w:r>
        <w:rPr/>
        <w:fldChar w:fldCharType="separate"/>
      </w:r>
      <w:r>
        <w:rPr>
          <w:rFonts w:ascii="Times New Roman" w:cs="Times New Roman" w:hAnsi="Times New Roman"/>
          <w:sz w:val="24"/>
          <w:szCs w:val="24"/>
        </w:rPr>
        <w:t>13.35</w:t>
      </w:r>
      <w:r>
        <w:rPr/>
        <w:fldChar w:fldCharType="end"/>
      </w:r>
      <w:r>
        <w:rPr>
          <w:rFonts w:ascii="Times New Roman" w:cs="Times New Roman" w:hAnsi="Times New Roman"/>
          <w:sz w:val="24"/>
          <w:szCs w:val="24"/>
        </w:rPr>
        <w:t xml:space="preserve">» заменить словами «предусмотренных </w:t>
      </w:r>
      <w:r>
        <w:rPr/>
        <w:fldChar w:fldCharType="begin"/>
      </w:r>
      <w:r>
        <w:instrText xml:space="preserve"> HYPERLINK "consultantplus://offline/ref=B55915EEB53BEA1A27B5D0A7DA8B2234B2255B5A165E0EE7C16B6553CE2318CC570E1172F0E2FBT6M" </w:instrText>
      </w:r>
      <w:r>
        <w:rPr/>
        <w:fldChar w:fldCharType="separate"/>
      </w:r>
      <w:r>
        <w:rPr>
          <w:rFonts w:ascii="Times New Roman" w:cs="Times New Roman" w:hAnsi="Times New Roman"/>
          <w:sz w:val="24"/>
          <w:szCs w:val="24"/>
        </w:rPr>
        <w:t>статьями 7.1</w:t>
      </w:r>
      <w:r>
        <w:rPr/>
        <w:fldChar w:fldCharType="end"/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/>
        <w:fldChar w:fldCharType="begin"/>
      </w:r>
      <w:r>
        <w:instrText xml:space="preserve"> HYPERLINK "consultantplus://offline/ref=B55915EEB53BEA1A27B5D0A7DA8B2234B2255B5A165E0EE7C16B6553CE2318CC570E1175F5EAFBT1M" </w:instrText>
      </w:r>
      <w:r>
        <w:rPr/>
        <w:fldChar w:fldCharType="separate"/>
      </w:r>
      <w:r>
        <w:rPr>
          <w:rFonts w:ascii="Times New Roman" w:cs="Times New Roman" w:hAnsi="Times New Roman"/>
          <w:sz w:val="24"/>
          <w:szCs w:val="24"/>
        </w:rPr>
        <w:t>7.2</w:t>
      </w:r>
      <w:r>
        <w:rPr/>
        <w:fldChar w:fldCharType="end"/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/>
        <w:fldChar w:fldCharType="begin"/>
      </w:r>
      <w:r>
        <w:instrText xml:space="preserve"> HYPERLINK "consultantplus://offline/ref=B55915EEB53BEA1A27B5D0A7DA8B2234B2255B5A165E0EE7C16B6553CE2318CC570E1172FBE9FBT7M" </w:instrText>
      </w:r>
      <w:r>
        <w:rPr/>
        <w:fldChar w:fldCharType="separate"/>
      </w:r>
      <w:r>
        <w:rPr>
          <w:rFonts w:ascii="Times New Roman" w:cs="Times New Roman" w:hAnsi="Times New Roman"/>
          <w:sz w:val="24"/>
          <w:szCs w:val="24"/>
        </w:rPr>
        <w:t>12.21.3</w:t>
      </w:r>
      <w:r>
        <w:rPr/>
        <w:fldChar w:fldCharType="end"/>
      </w:r>
      <w:r>
        <w:rPr>
          <w:rFonts w:ascii="Times New Roman" w:cs="Times New Roman" w:hAnsi="Times New Roman"/>
          <w:sz w:val="24"/>
          <w:szCs w:val="24"/>
        </w:rPr>
        <w:t xml:space="preserve">, частью 2 статьи 13.19.2, </w:t>
      </w:r>
      <w:r>
        <w:rPr/>
        <w:fldChar w:fldCharType="begin"/>
      </w:r>
      <w:r>
        <w:instrText xml:space="preserve"> HYPERLINK "consultantplus://offline/ref=B55915EEB53BEA1A27B5D0A7DA8B2234B2255B5A165E0EE7C16B6553CE2318CC570E1173F4EDFBT4M" </w:instrText>
      </w:r>
      <w:r>
        <w:rPr/>
        <w:fldChar w:fldCharType="separate"/>
      </w:r>
      <w:r>
        <w:rPr>
          <w:rFonts w:ascii="Times New Roman" w:cs="Times New Roman" w:hAnsi="Times New Roman"/>
          <w:sz w:val="24"/>
          <w:szCs w:val="24"/>
        </w:rPr>
        <w:t>13.35</w:t>
      </w:r>
      <w:r>
        <w:rPr/>
        <w:fldChar w:fldCharType="end"/>
      </w:r>
      <w:r>
        <w:rPr>
          <w:rFonts w:ascii="Times New Roman" w:cs="Times New Roman" w:hAnsi="Times New Roman"/>
          <w:sz w:val="24"/>
          <w:szCs w:val="24"/>
        </w:rPr>
        <w:t>», слова «</w:t>
      </w:r>
      <w:r>
        <w:rPr/>
        <w:fldChar w:fldCharType="begin"/>
      </w:r>
      <w:r>
        <w:instrText xml:space="preserve"> HYPERLINK "consultantplus://offline/ref=B55915EEB53BEA1A27B5D0A7DA8B2234B2255B5A165E0EE7C16B6553CE2318CC570E1175F3EAB09DF7TAM" </w:instrText>
      </w:r>
      <w:r>
        <w:rPr/>
        <w:fldChar w:fldCharType="separate"/>
      </w:r>
      <w:r>
        <w:rPr>
          <w:rFonts w:ascii="Times New Roman" w:cs="Times New Roman" w:hAnsi="Times New Roman"/>
          <w:sz w:val="24"/>
          <w:szCs w:val="24"/>
        </w:rPr>
        <w:t>7.19</w:t>
      </w:r>
      <w:r>
        <w:rPr/>
        <w:fldChar w:fldCharType="end"/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/>
        <w:fldChar w:fldCharType="begin"/>
      </w:r>
      <w:r>
        <w:instrText xml:space="preserve"> HYPERLINK "consultantplus://offline/ref=B55915EEB53BEA1A27B5D0A7DA8B2234B2255B5A165E0EE7C16B6553CE2318CC570E1172F0EEFBTCM" </w:instrText>
      </w:r>
      <w:r>
        <w:rPr/>
        <w:fldChar w:fldCharType="separate"/>
      </w:r>
      <w:r>
        <w:rPr>
          <w:rFonts w:ascii="Times New Roman" w:cs="Times New Roman" w:hAnsi="Times New Roman"/>
          <w:sz w:val="24"/>
          <w:szCs w:val="24"/>
        </w:rPr>
        <w:t>частью 1 статьи 13.19.2</w:t>
      </w:r>
      <w:r>
        <w:rPr/>
        <w:fldChar w:fldCharType="end"/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/>
        <w:fldChar w:fldCharType="begin"/>
      </w:r>
      <w:r>
        <w:instrText xml:space="preserve"> HYPERLINK "consultantplus://offline/ref=B55915EEB53BEA1A27B5D0A7DA8B2234B2255B5A165E0EE7C16B6553CE2318CC570E1172F1E2FBT0M" </w:instrText>
      </w:r>
      <w:r>
        <w:rPr/>
        <w:fldChar w:fldCharType="separate"/>
      </w:r>
      <w:r>
        <w:rPr>
          <w:rFonts w:ascii="Times New Roman" w:cs="Times New Roman" w:hAnsi="Times New Roman"/>
          <w:sz w:val="24"/>
          <w:szCs w:val="24"/>
        </w:rPr>
        <w:t>частью 1 статьи 14.10</w:t>
      </w:r>
      <w:r>
        <w:rPr/>
        <w:fldChar w:fldCharType="end"/>
      </w:r>
      <w:r>
        <w:rPr>
          <w:rFonts w:ascii="Times New Roman" w:cs="Times New Roman" w:hAnsi="Times New Roman"/>
          <w:sz w:val="24"/>
          <w:szCs w:val="24"/>
        </w:rPr>
        <w:t>»  заменить словами «</w:t>
      </w:r>
      <w:r>
        <w:rPr/>
        <w:fldChar w:fldCharType="begin"/>
      </w:r>
      <w:r>
        <w:instrText xml:space="preserve"> HYPERLINK "consultantplus://offline/ref=B55915EEB53BEA1A27B5D0A7DA8B2234B2255B5A165E0EE7C16B6553CE2318CC570E1175F3EAB09DF7TAM" </w:instrText>
      </w:r>
      <w:r>
        <w:rPr/>
        <w:fldChar w:fldCharType="separate"/>
      </w:r>
      <w:r>
        <w:rPr>
          <w:rFonts w:ascii="Times New Roman" w:cs="Times New Roman" w:hAnsi="Times New Roman"/>
          <w:sz w:val="24"/>
          <w:szCs w:val="24"/>
        </w:rPr>
        <w:t>7.19</w:t>
      </w:r>
      <w:r>
        <w:rPr/>
        <w:fldChar w:fldCharType="end"/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/>
        <w:fldChar w:fldCharType="begin"/>
      </w:r>
      <w:r>
        <w:instrText xml:space="preserve"> HYPERLINK "consultantplus://offline/ref=B55915EEB53BEA1A27B5D0A7DA8B2234B2255B5A165E0EE7C16B6553CE2318CC570E1172F1E2FBT0M" </w:instrText>
      </w:r>
      <w:r>
        <w:rPr/>
        <w:fldChar w:fldCharType="separate"/>
      </w:r>
      <w:r>
        <w:rPr>
          <w:rFonts w:ascii="Times New Roman" w:cs="Times New Roman" w:hAnsi="Times New Roman"/>
          <w:sz w:val="24"/>
          <w:szCs w:val="24"/>
        </w:rPr>
        <w:t>частью 1 статьи 14.10</w:t>
      </w:r>
      <w:r>
        <w:rPr/>
        <w:fldChar w:fldCharType="end"/>
      </w:r>
      <w:r>
        <w:rPr>
          <w:rFonts w:ascii="Times New Roman" w:cs="Times New Roman" w:hAnsi="Times New Roman"/>
          <w:sz w:val="24"/>
          <w:szCs w:val="24"/>
        </w:rPr>
        <w:t>»;</w:t>
      </w:r>
    </w:p>
    <w:p>
      <w:pPr>
        <w:pStyle w:val="style0"/>
        <w:numPr>
          <w:ilvl w:val="0"/>
          <w:numId w:val="13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 статье 13.19.1: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а) в части 1: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после слов «должностным лицом органа исполнительной власти субъекта Российской Федерации,» дополнить словами «должностным лицом органа местного самоуправления»;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после слов «а также иной организацией, через которую производится внесение платы за жилое помещение и коммунальные услуги,» дополнить словами «за исключением лиц, осуществляющих поставку ресурсов, необходимых для предоставления коммунальных услуг, предоставляющих коммунальные услуги и (или) осуществляющими предпринимательскую деятельность по управлению многоквартирными домами»;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слова  «порядка, способов и (или)» исключить;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слово «двухсот» заменить словом «пятьдесят»;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б) абзац первый части 2 изложить в следующей редакции:</w:t>
      </w:r>
    </w:p>
    <w:p>
      <w:pPr>
        <w:pStyle w:val="style0"/>
        <w:autoSpaceDE w:val="false"/>
        <w:autoSpaceDN w:val="false"/>
        <w:adjustRightInd w:val="false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«Нарушение оператором государственной информационной системы жилищно-коммунального хозяйства (далее – оператор системы) порядка доступа к государственной информационной системе жилищно-коммунального хозяйства и к информации, размещенной в ней, сроков регистрации поставщиков информации и пользователей информации, функциональных требований к системе, требований к технологическим, программным, лингвистическим, правовым и организационным средствам обеспечения функционирования и пользования государственной информационной системой жилищно-коммунального хозяйства, порядка взаимодействия государственной информационной системы жилищно-коммунального хозяйства с иными информационными системами, сроков ответов на запросы поставщиков информации и пользователей информации по вопросам, связанным с функционированием указанной системы и размещением информации в ней, </w:t>
      </w:r>
      <w:r>
        <w:rPr/>
        <w:fldChar w:fldCharType="begin"/>
      </w:r>
      <w:r>
        <w:instrText xml:space="preserve"> HYPERLINK "consultantplus://offline/ref=12CD2A511629B34173C8DD703D0A4A8E302819663F1C447A9A2BE646629B04AE2718F9ABFDA27F63x6F6J" </w:instrText>
      </w:r>
      <w:r>
        <w:rPr/>
        <w:fldChar w:fldCharType="separate"/>
      </w:r>
      <w:r>
        <w:rPr>
          <w:rFonts w:ascii="Times New Roman" w:cs="Times New Roman" w:hAnsi="Times New Roman"/>
          <w:sz w:val="24"/>
          <w:szCs w:val="24"/>
        </w:rPr>
        <w:t>требований</w:t>
      </w:r>
      <w:r>
        <w:rPr/>
        <w:fldChar w:fldCharType="end"/>
      </w:r>
      <w:r>
        <w:rPr>
          <w:rFonts w:ascii="Times New Roman" w:cs="Times New Roman" w:hAnsi="Times New Roman"/>
          <w:sz w:val="24"/>
          <w:szCs w:val="24"/>
        </w:rPr>
        <w:t xml:space="preserve"> к порядку создания, развития, ввода в эксплуатацию, эксплуатации и вывода из эксплуатации государственной информационной системы жилищно-коммунального хозяйства, порядка хранения, обработки и предоставления информации в ней,-»;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в) дополнить частью 2.1 следующего содержания: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«2.1. Использование оператором системы содержащейся в системе информации в порядке, не предусмотренном законодательством о государственной информационной системе жилищно-коммунального хозяйства, а также в собственных коммерческих целях -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влечет наложение административного штрафа в размере от пятисот тысяч до одного миллиона рублей.».</w:t>
      </w:r>
    </w:p>
    <w:p>
      <w:pPr>
        <w:pStyle w:val="style0"/>
        <w:numPr>
          <w:ilvl w:val="0"/>
          <w:numId w:val="13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статью 13.19.2 изложить в следующей редакции: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«Статья 13.19.2. Нарушение порядка размещения информации в государственной информационной системе жилищно-коммунального хозяйства</w:t>
      </w:r>
    </w:p>
    <w:p>
      <w:pPr>
        <w:pStyle w:val="style0"/>
        <w:numPr>
          <w:ilvl w:val="0"/>
          <w:numId w:val="10"/>
        </w:numPr>
        <w:autoSpaceDE w:val="false"/>
        <w:autoSpaceDN w:val="false"/>
        <w:adjustRightInd w:val="false"/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Неразмещение информации в соответствии с законодательством Российской Федерации в государственной информационной системе жилищно-коммунального хозяйства или нарушение установленных законодательством Российской Федерации сроков размещения информации либо размещение заведомо недостоверной  информации -</w:t>
      </w:r>
    </w:p>
    <w:p>
      <w:pPr>
        <w:pStyle w:val="style0"/>
        <w:autoSpaceDE w:val="false"/>
        <w:autoSpaceDN w:val="false"/>
        <w:adjustRightInd w:val="false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влечет предупреждение или наложение административного штрафа на физических лиц в размере пяти тысяч рублей; на юридических лиц –  десяти  тысяч рублей.</w:t>
      </w:r>
    </w:p>
    <w:p>
      <w:pPr>
        <w:pStyle w:val="style0"/>
        <w:numPr>
          <w:ilvl w:val="0"/>
          <w:numId w:val="10"/>
        </w:numPr>
        <w:autoSpaceDE w:val="false"/>
        <w:autoSpaceDN w:val="false"/>
        <w:adjustRightInd w:val="false"/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Совершение административного правонарушения, предусмотренного частью 1 настоящей статьи, лицом, ранее подвергнутым административному наказанию за аналогичное правонарушение, -</w:t>
      </w:r>
    </w:p>
    <w:p>
      <w:pPr>
        <w:pStyle w:val="style0"/>
        <w:autoSpaceDE w:val="false"/>
        <w:autoSpaceDN w:val="false"/>
        <w:adjustRightInd w:val="false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влечет наложение административного штрафа на физических лиц в размере десяти тысяч рублей; на юридических лиц –  двадцати тысяч рублей.».</w:t>
      </w:r>
    </w:p>
    <w:p>
      <w:pPr>
        <w:pStyle w:val="style0"/>
        <w:autoSpaceDE w:val="false"/>
        <w:autoSpaceDN w:val="false"/>
        <w:adjustRightInd w:val="false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Примечание.</w:t>
      </w:r>
    </w:p>
    <w:p>
      <w:pPr>
        <w:pStyle w:val="style0"/>
        <w:numPr>
          <w:ilvl w:val="0"/>
          <w:numId w:val="12"/>
        </w:numPr>
        <w:autoSpaceDE w:val="false"/>
        <w:autoSpaceDN w:val="false"/>
        <w:adjustRightInd w:val="false"/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За административные правонарушения, предусмотренные настоящей статьей, лица, осуществляющие предпринимательскую деятельность без образования юридического лица, несут административную ответственность как юридические лица.</w:t>
      </w:r>
    </w:p>
    <w:p>
      <w:pPr>
        <w:pStyle w:val="style0"/>
        <w:numPr>
          <w:ilvl w:val="0"/>
          <w:numId w:val="12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 случае совершения предусмотренного частью 1 настоящей статьей правонарушения лицом, осуществляющим поставки ресурсов, необходимых для предоставления коммунальных услуг, предоставляющим коммунальные услуги и (или) осуществляющим деятельность по управлению многоквартирными домами, административная ответственность, предусмотренная настоящей статьи, наступает за нарушение порядка размещения всех видов информации, в отношении потребителей товаров (услуг) такого лица на территории соответствующего субъекта Российской Федерации в совокупности, подлежащих размещению в срок, установленный законодательством о государственной информационной системе жилищно-коммунального хозяйства»;</w:t>
      </w:r>
    </w:p>
    <w:p>
      <w:pPr>
        <w:pStyle w:val="style0"/>
        <w:numPr>
          <w:ilvl w:val="0"/>
          <w:numId w:val="13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 части 2 статьи 14.1.3 после слов «лицензионных требований» дополнить словами «, за исключением случаев, предусмотренных статьей 13.19.2»;</w:t>
      </w:r>
    </w:p>
    <w:p>
      <w:pPr>
        <w:pStyle w:val="style0"/>
        <w:numPr>
          <w:ilvl w:val="0"/>
          <w:numId w:val="13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 части 1 статьи 19.8.1 после слов «в соответствии с законодательством Российской Федерации» дополнить словами «</w:t>
      </w:r>
      <w:r>
        <w:rPr>
          <w:rFonts w:ascii="Times New Roman" w:cs="Times New Roman" w:hAnsi="Times New Roman"/>
          <w:bCs/>
          <w:sz w:val="24"/>
          <w:szCs w:val="24"/>
        </w:rPr>
        <w:t>(за исключением требований о предоставлении (размещении) таких сведений в соответствии с законодательством о государственной информационной системе жилищно-коммунального хозяйства)</w:t>
      </w:r>
      <w:r>
        <w:rPr>
          <w:rFonts w:ascii="Times New Roman" w:cs="Times New Roman" w:hAnsi="Times New Roman"/>
          <w:sz w:val="24"/>
          <w:szCs w:val="24"/>
        </w:rPr>
        <w:t>».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bookmarkStart w:id="1" w:name="Par4"/>
    <w:bookmarkEnd w:id="1"/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Статья 3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Внести в Федеральный закон от 21.07.2014 № 209-ФЗ «О государственной информационной системе жилищно-коммунального хозяйства» (Собрание законодательства Российской Федерации 2017, № 1, ст. 10) следующие изменения:</w:t>
      </w:r>
    </w:p>
    <w:p>
      <w:pPr>
        <w:pStyle w:val="style0"/>
        <w:numPr>
          <w:ilvl w:val="0"/>
          <w:numId w:val="14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первое предложение части 4 статьи 7 дополнить словами «организацию работы службы технической поддержки функционирования системы, в том числе в целях предоставления ответов на запросы поставщиков информации и пользователей информации по вопросам, связанным с функционированием указанной системы и размещения информации  в ней»;</w:t>
      </w:r>
    </w:p>
    <w:p>
      <w:pPr>
        <w:pStyle w:val="style0"/>
        <w:numPr>
          <w:ilvl w:val="0"/>
          <w:numId w:val="14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статью 9 дополнить частью 3 следующего содержания: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«3. Оператор системы не вправе передавать и (или) предоставлять доступ к информации, содержащейся в системе, третьим лицам в случаях и порядке, не предусмотренных законодательством о государственной информационной системе жилищно-коммунального хозяйства, а также не вправе использовать такую информацию в собственных коммерческих целях».</w:t>
      </w:r>
    </w:p>
    <w:p>
      <w:pPr>
        <w:pStyle w:val="style0"/>
        <w:numPr>
          <w:ilvl w:val="0"/>
          <w:numId w:val="14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 статье 12 части 8 и 9 исключить.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Статья 4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Внести в статью 6 Федерального закона от 21.07.2014 № 263-ФЗ «О внесении изменений в отдельные законодательные акты Российской Федерации в связи с принятием Федерального закона «О государственной информационной системе жилищно-коммунального хозяйства» (Собрание законодательства Российской Федерации 2017, № 1, ст. 10) следующие изменения:</w:t>
      </w:r>
    </w:p>
    <w:p>
      <w:pPr>
        <w:pStyle w:val="style0"/>
        <w:numPr>
          <w:ilvl w:val="0"/>
          <w:numId w:val="15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в </w:t>
      </w:r>
      <w:r>
        <w:rPr/>
        <w:fldChar w:fldCharType="begin"/>
      </w:r>
      <w:r>
        <w:instrText xml:space="preserve"> HYPERLINK "consultantplus://offline/ref=42102996F3D38FD879D0107B20188F4EBB4711C5831A2B6AC0726D9BB9C8C762B40A0378E338943EADqAG" </w:instrText>
      </w:r>
      <w:r>
        <w:rPr/>
        <w:fldChar w:fldCharType="separate"/>
      </w:r>
      <w:r>
        <w:rPr>
          <w:rFonts w:ascii="Times New Roman" w:cs="Times New Roman" w:hAnsi="Times New Roman"/>
          <w:sz w:val="24"/>
          <w:szCs w:val="24"/>
        </w:rPr>
        <w:t>части 2.1</w:t>
      </w:r>
      <w:r>
        <w:rPr/>
        <w:fldChar w:fldCharType="end"/>
      </w:r>
      <w:r>
        <w:rPr>
          <w:rFonts w:ascii="Times New Roman" w:cs="Times New Roman" w:hAnsi="Times New Roman"/>
          <w:sz w:val="24"/>
          <w:szCs w:val="24"/>
        </w:rPr>
        <w:t xml:space="preserve"> слова "До 1 января 2018 года" заменить словами "До 1 июня 2019 года";</w:t>
      </w:r>
    </w:p>
    <w:p>
      <w:pPr>
        <w:pStyle w:val="style0"/>
        <w:numPr>
          <w:ilvl w:val="0"/>
          <w:numId w:val="15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в </w:t>
      </w:r>
      <w:r>
        <w:rPr/>
        <w:fldChar w:fldCharType="begin"/>
      </w:r>
      <w:r>
        <w:instrText xml:space="preserve"> HYPERLINK "consultantplus://offline/ref=42102996F3D38FD879D0107B20188F4EBB4711C5831A2B6AC0726D9BB9C8C762B40A0378E338943EADqBG" </w:instrText>
      </w:r>
      <w:r>
        <w:rPr/>
        <w:fldChar w:fldCharType="separate"/>
      </w:r>
      <w:r>
        <w:rPr>
          <w:rFonts w:ascii="Times New Roman" w:cs="Times New Roman" w:hAnsi="Times New Roman"/>
          <w:sz w:val="24"/>
          <w:szCs w:val="24"/>
        </w:rPr>
        <w:t>части 2.2</w:t>
      </w:r>
      <w:r>
        <w:rPr/>
        <w:fldChar w:fldCharType="end"/>
      </w:r>
      <w:r>
        <w:rPr>
          <w:rFonts w:ascii="Times New Roman" w:cs="Times New Roman" w:hAnsi="Times New Roman"/>
          <w:sz w:val="24"/>
          <w:szCs w:val="24"/>
        </w:rPr>
        <w:t xml:space="preserve"> слова "До 1 января 2018 года" заменить словами "До 1 июня 2019 года", </w:t>
      </w:r>
    </w:p>
    <w:p>
      <w:pPr>
        <w:pStyle w:val="style0"/>
        <w:numPr>
          <w:ilvl w:val="0"/>
          <w:numId w:val="15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части 6 и 7 исключить.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Статья 5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Внести в статью </w:t>
      </w:r>
      <w:r>
        <w:rPr/>
        <w:fldChar w:fldCharType="begin"/>
      </w:r>
      <w:r>
        <w:instrText xml:space="preserve"> HYPERLINK "consultantplus://offline/ref=42102996F3D38FD879D0107B20188F4EBB481CC4861F2B6AC0726D9BB9C8C762B40A0378E3389439ADqDG" </w:instrText>
      </w:r>
      <w:r>
        <w:rPr/>
        <w:fldChar w:fldCharType="separate"/>
      </w:r>
      <w:r>
        <w:rPr>
          <w:rFonts w:ascii="Times New Roman" w:cs="Times New Roman" w:hAnsi="Times New Roman"/>
          <w:sz w:val="24"/>
          <w:szCs w:val="24"/>
        </w:rPr>
        <w:t>5</w:t>
      </w:r>
      <w:r>
        <w:rPr/>
        <w:fldChar w:fldCharType="end"/>
      </w:r>
      <w:r>
        <w:rPr>
          <w:rFonts w:ascii="Times New Roman" w:cs="Times New Roman" w:hAnsi="Times New Roman"/>
          <w:sz w:val="24"/>
          <w:szCs w:val="24"/>
        </w:rPr>
        <w:t xml:space="preserve"> Федерального закона от 28.12.2016 № 469-ФЗ «О внесении изменений в Жилищный кодекс Российской Федерации и отдельные законодательные акты Российской Федерации»(Собрание законодательства Российской Федерации, 2017, N 1 (Часть I), ст. 10) следующие изменения: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 части 2 слова "с 1 января 2018 года" заменить на слова "с 1 июня 2019";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 части 3 слова "до 31 декабря 2017 года" заменить на слова "до 31 мая 2019".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Статья 6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Положения частей 14 и 141 статьи 155 Жилищного кодекса Российской Федерации (в редакции настоящего Федерального закона) применяются с 1 июля 2019 года.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tabs>
          <w:tab w:val="center" w:leader="none" w:pos="2410"/>
        </w:tabs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uppressAutoHyphens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Президент</w:t>
      </w:r>
    </w:p>
    <w:p>
      <w:pPr>
        <w:pStyle w:val="style0"/>
        <w:suppressAutoHyphens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Российской Федерации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>В.Путин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</w:t>
      </w:r>
    </w:p>
    <w:p>
      <w:pPr>
        <w:pStyle w:val="style0"/>
        <w:jc w:val="right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br w:type="page"/>
      </w:r>
      <w:r>
        <w:rPr>
          <w:rFonts w:ascii="Times New Roman" w:cs="Times New Roman" w:hAnsi="Times New Roman"/>
          <w:i/>
          <w:sz w:val="24"/>
          <w:szCs w:val="24"/>
        </w:rPr>
        <w:t xml:space="preserve">Приложение </w:t>
      </w:r>
      <w:r>
        <w:rPr>
          <w:rFonts w:ascii="Times New Roman" w:cs="Times New Roman" w:hAnsi="Times New Roman"/>
          <w:i/>
          <w:sz w:val="24"/>
          <w:szCs w:val="24"/>
        </w:rPr>
        <w:t>№ 4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Предложения по стабилизации ситуации с запуском ГИС ЖКХ в эксплуатацию для широкого круга пользователей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Н</w:t>
      </w:r>
      <w:r>
        <w:rPr>
          <w:rFonts w:ascii="Times New Roman" w:cs="Times New Roman" w:hAnsi="Times New Roman"/>
          <w:sz w:val="24"/>
          <w:szCs w:val="24"/>
        </w:rPr>
        <w:t xml:space="preserve">еоднократный перенос сроков запуска </w:t>
      </w:r>
      <w:r>
        <w:rPr>
          <w:rFonts w:ascii="Times New Roman" w:cs="Times New Roman" w:hAnsi="Times New Roman"/>
          <w:sz w:val="24"/>
          <w:szCs w:val="24"/>
        </w:rPr>
        <w:t>С</w:t>
      </w:r>
      <w:r>
        <w:rPr>
          <w:rFonts w:ascii="Times New Roman" w:cs="Times New Roman" w:hAnsi="Times New Roman"/>
          <w:sz w:val="24"/>
          <w:szCs w:val="24"/>
        </w:rPr>
        <w:t xml:space="preserve">истемы не привел к ожидаемому изменению к подходам запуска </w:t>
      </w:r>
      <w:r>
        <w:rPr>
          <w:rFonts w:ascii="Times New Roman" w:cs="Times New Roman" w:hAnsi="Times New Roman"/>
          <w:sz w:val="24"/>
          <w:szCs w:val="24"/>
        </w:rPr>
        <w:t>С</w:t>
      </w:r>
      <w:r>
        <w:rPr>
          <w:rFonts w:ascii="Times New Roman" w:cs="Times New Roman" w:hAnsi="Times New Roman"/>
          <w:sz w:val="24"/>
          <w:szCs w:val="24"/>
        </w:rPr>
        <w:t xml:space="preserve">истемы с обеспечением этапности: на первом этапе - полная готовность </w:t>
      </w:r>
      <w:r>
        <w:rPr>
          <w:rFonts w:ascii="Times New Roman" w:cs="Times New Roman" w:hAnsi="Times New Roman"/>
          <w:sz w:val="24"/>
          <w:szCs w:val="24"/>
        </w:rPr>
        <w:t>Системы и</w:t>
      </w:r>
      <w:r>
        <w:rPr>
          <w:rFonts w:ascii="Times New Roman" w:cs="Times New Roman" w:hAnsi="Times New Roman"/>
          <w:sz w:val="24"/>
          <w:szCs w:val="24"/>
        </w:rPr>
        <w:t xml:space="preserve"> фиксация </w:t>
      </w:r>
      <w:r>
        <w:rPr>
          <w:rFonts w:ascii="Times New Roman" w:cs="Times New Roman" w:hAnsi="Times New Roman"/>
          <w:sz w:val="24"/>
          <w:szCs w:val="24"/>
        </w:rPr>
        <w:t>данного факта</w:t>
      </w:r>
      <w:r>
        <w:rPr>
          <w:rFonts w:ascii="Times New Roman" w:cs="Times New Roman" w:hAnsi="Times New Roman"/>
          <w:sz w:val="24"/>
          <w:szCs w:val="24"/>
        </w:rPr>
        <w:t xml:space="preserve">, на следующем этапе – тестирование в «пилотных» регионах в течение достаточного периода времени (минимум полгода), далее – наступление обязанности по размещению информации для участников рынка, и только затем – наступление ответственности.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  <w:u w:val="single"/>
        </w:rPr>
      </w:pPr>
      <w:r>
        <w:rPr>
          <w:rFonts w:ascii="Times New Roman" w:cs="Times New Roman" w:hAnsi="Times New Roman"/>
          <w:sz w:val="24"/>
          <w:szCs w:val="24"/>
          <w:u w:val="single"/>
        </w:rPr>
        <w:t xml:space="preserve">К сожалению, до сих пор </w:t>
      </w:r>
      <w:r>
        <w:rPr>
          <w:rFonts w:ascii="Times New Roman" w:cs="Times New Roman" w:hAnsi="Times New Roman"/>
          <w:sz w:val="24"/>
          <w:szCs w:val="24"/>
          <w:u w:val="single"/>
        </w:rPr>
        <w:t>С</w:t>
      </w:r>
      <w:r>
        <w:rPr>
          <w:rFonts w:ascii="Times New Roman" w:cs="Times New Roman" w:hAnsi="Times New Roman"/>
          <w:sz w:val="24"/>
          <w:szCs w:val="24"/>
          <w:u w:val="single"/>
        </w:rPr>
        <w:t xml:space="preserve">истема реализуется по принципу доработки и тестирования одновременно, предусматривая наступление обязанности размещения информации сразу после осуществления последних корректировок </w:t>
      </w:r>
      <w:r>
        <w:rPr>
          <w:rFonts w:ascii="Times New Roman" w:cs="Times New Roman" w:hAnsi="Times New Roman"/>
          <w:sz w:val="24"/>
          <w:szCs w:val="24"/>
          <w:u w:val="single"/>
        </w:rPr>
        <w:t>С</w:t>
      </w:r>
      <w:r>
        <w:rPr>
          <w:rFonts w:ascii="Times New Roman" w:cs="Times New Roman" w:hAnsi="Times New Roman"/>
          <w:sz w:val="24"/>
          <w:szCs w:val="24"/>
          <w:u w:val="single"/>
        </w:rPr>
        <w:t>истемы.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Такой подход по умолчанию не может привести к одновременной готовности обеих сторон (Системы и поставщиков информации) к</w:t>
      </w:r>
      <w:r>
        <w:rPr>
          <w:rFonts w:ascii="Times New Roman" w:cs="Times New Roman" w:hAnsi="Times New Roman"/>
          <w:sz w:val="24"/>
          <w:szCs w:val="24"/>
        </w:rPr>
        <w:t xml:space="preserve"> взаимодействию, а</w:t>
      </w:r>
      <w:r>
        <w:rPr>
          <w:rFonts w:ascii="Times New Roman" w:cs="Times New Roman" w:hAnsi="Times New Roman"/>
          <w:sz w:val="24"/>
          <w:szCs w:val="24"/>
        </w:rPr>
        <w:t xml:space="preserve"> следовательно, разногласия по поводу работоспособности </w:t>
      </w:r>
      <w:r>
        <w:rPr>
          <w:rFonts w:ascii="Times New Roman" w:cs="Times New Roman" w:hAnsi="Times New Roman"/>
          <w:sz w:val="24"/>
          <w:szCs w:val="24"/>
        </w:rPr>
        <w:t>С</w:t>
      </w:r>
      <w:r>
        <w:rPr>
          <w:rFonts w:ascii="Times New Roman" w:cs="Times New Roman" w:hAnsi="Times New Roman"/>
          <w:sz w:val="24"/>
          <w:szCs w:val="24"/>
        </w:rPr>
        <w:t xml:space="preserve">истемы будут возникать постоянно.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Полагаем, что основная проблема заключается в том, что отсутствует четкий и прозрачный для обеих сторон порядок запуска </w:t>
      </w:r>
      <w:r>
        <w:rPr>
          <w:rFonts w:ascii="Times New Roman" w:cs="Times New Roman" w:hAnsi="Times New Roman"/>
          <w:sz w:val="24"/>
          <w:szCs w:val="24"/>
        </w:rPr>
        <w:t>С</w:t>
      </w:r>
      <w:r>
        <w:rPr>
          <w:rFonts w:ascii="Times New Roman" w:cs="Times New Roman" w:hAnsi="Times New Roman"/>
          <w:sz w:val="24"/>
          <w:szCs w:val="24"/>
        </w:rPr>
        <w:t xml:space="preserve">истемы </w:t>
      </w:r>
      <w:r>
        <w:rPr>
          <w:rFonts w:ascii="Times New Roman" w:cs="Times New Roman" w:hAnsi="Times New Roman"/>
          <w:sz w:val="24"/>
          <w:szCs w:val="24"/>
        </w:rPr>
        <w:t xml:space="preserve">и ее новых версий </w:t>
      </w:r>
      <w:r>
        <w:rPr>
          <w:rFonts w:ascii="Times New Roman" w:cs="Times New Roman" w:hAnsi="Times New Roman"/>
          <w:sz w:val="24"/>
          <w:szCs w:val="24"/>
        </w:rPr>
        <w:t>в эксплуатацию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Н</w:t>
      </w:r>
      <w:r>
        <w:rPr>
          <w:rFonts w:ascii="Times New Roman" w:cs="Times New Roman" w:hAnsi="Times New Roman"/>
          <w:sz w:val="24"/>
          <w:szCs w:val="24"/>
        </w:rPr>
        <w:t xml:space="preserve">е </w:t>
      </w:r>
      <w:r>
        <w:rPr>
          <w:rFonts w:ascii="Times New Roman" w:cs="Times New Roman" w:hAnsi="Times New Roman"/>
          <w:sz w:val="24"/>
          <w:szCs w:val="24"/>
        </w:rPr>
        <w:t>ясно</w:t>
      </w:r>
      <w:r>
        <w:rPr>
          <w:rFonts w:ascii="Times New Roman" w:cs="Times New Roman" w:hAnsi="Times New Roman"/>
          <w:sz w:val="24"/>
          <w:szCs w:val="24"/>
        </w:rPr>
        <w:t xml:space="preserve">, кто и каким образом определил готовность </w:t>
      </w:r>
      <w:r>
        <w:rPr>
          <w:rFonts w:ascii="Times New Roman" w:cs="Times New Roman" w:hAnsi="Times New Roman"/>
          <w:sz w:val="24"/>
          <w:szCs w:val="24"/>
        </w:rPr>
        <w:t>С</w:t>
      </w:r>
      <w:r>
        <w:rPr>
          <w:rFonts w:ascii="Times New Roman" w:cs="Times New Roman" w:hAnsi="Times New Roman"/>
          <w:sz w:val="24"/>
          <w:szCs w:val="24"/>
        </w:rPr>
        <w:t>истемы к эксплуатации, на основании каких данных делается заключение о наполненности Системы информацией, отсутствуют открытые источники с перечнем возникающих ошибок и предпринятых мер по устранению этих проблем.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На наш взгляд</w:t>
      </w:r>
      <w:r>
        <w:rPr>
          <w:rFonts w:ascii="Times New Roman" w:cs="Times New Roman" w:hAnsi="Times New Roman"/>
          <w:sz w:val="24"/>
          <w:szCs w:val="24"/>
        </w:rPr>
        <w:t>,</w:t>
      </w:r>
      <w:r>
        <w:rPr>
          <w:rFonts w:ascii="Times New Roman" w:cs="Times New Roman" w:hAnsi="Times New Roman"/>
          <w:sz w:val="24"/>
          <w:szCs w:val="24"/>
        </w:rPr>
        <w:t xml:space="preserve"> для обеспечения запуска </w:t>
      </w:r>
      <w:r>
        <w:rPr>
          <w:rFonts w:ascii="Times New Roman" w:cs="Times New Roman" w:hAnsi="Times New Roman"/>
          <w:sz w:val="24"/>
          <w:szCs w:val="24"/>
        </w:rPr>
        <w:t>С</w:t>
      </w:r>
      <w:r>
        <w:rPr>
          <w:rFonts w:ascii="Times New Roman" w:cs="Times New Roman" w:hAnsi="Times New Roman"/>
          <w:sz w:val="24"/>
          <w:szCs w:val="24"/>
        </w:rPr>
        <w:t>истемы без оспаривания ее работоспособности и предъявления претензий к разработчикам и Оператору Системы необходимо следующее:</w:t>
      </w:r>
    </w:p>
    <w:p>
      <w:pPr>
        <w:pStyle w:val="style179"/>
        <w:numPr>
          <w:ilvl w:val="0"/>
          <w:numId w:val="17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Обязанность и ответственность поставщиков информации за размещение информации в </w:t>
      </w:r>
      <w:r>
        <w:rPr>
          <w:rFonts w:ascii="Times New Roman" w:cs="Times New Roman" w:hAnsi="Times New Roman"/>
          <w:sz w:val="24"/>
          <w:szCs w:val="24"/>
        </w:rPr>
        <w:t>С</w:t>
      </w:r>
      <w:r>
        <w:rPr>
          <w:rFonts w:ascii="Times New Roman" w:cs="Times New Roman" w:hAnsi="Times New Roman"/>
          <w:sz w:val="24"/>
          <w:szCs w:val="24"/>
        </w:rPr>
        <w:t>истеме должна возникать только после полноценной готовности ГИС ЖКХ.</w:t>
      </w:r>
    </w:p>
    <w:p>
      <w:pPr>
        <w:pStyle w:val="style179"/>
        <w:numPr>
          <w:ilvl w:val="0"/>
          <w:numId w:val="17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Для оценки состояния и контроля за работой </w:t>
      </w:r>
      <w:r>
        <w:rPr>
          <w:rFonts w:ascii="Times New Roman" w:cs="Times New Roman" w:hAnsi="Times New Roman"/>
          <w:sz w:val="24"/>
          <w:szCs w:val="24"/>
        </w:rPr>
        <w:t>С</w:t>
      </w:r>
      <w:r>
        <w:rPr>
          <w:rFonts w:ascii="Times New Roman" w:cs="Times New Roman" w:hAnsi="Times New Roman"/>
          <w:sz w:val="24"/>
          <w:szCs w:val="24"/>
        </w:rPr>
        <w:t>истемы необходимо создать независимую комиссию, в которую войдут помимо представителей Мин</w:t>
      </w:r>
      <w:r>
        <w:rPr>
          <w:rFonts w:ascii="Times New Roman" w:cs="Times New Roman" w:hAnsi="Times New Roman"/>
          <w:sz w:val="24"/>
          <w:szCs w:val="24"/>
        </w:rPr>
        <w:t>ком</w:t>
      </w:r>
      <w:r>
        <w:rPr>
          <w:rFonts w:ascii="Times New Roman" w:cs="Times New Roman" w:hAnsi="Times New Roman"/>
          <w:sz w:val="24"/>
          <w:szCs w:val="24"/>
        </w:rPr>
        <w:t xml:space="preserve">связи </w:t>
      </w:r>
      <w:r>
        <w:rPr>
          <w:rFonts w:ascii="Times New Roman" w:cs="Times New Roman" w:hAnsi="Times New Roman"/>
          <w:sz w:val="24"/>
          <w:szCs w:val="24"/>
        </w:rPr>
        <w:t xml:space="preserve">России </w:t>
      </w:r>
      <w:r>
        <w:rPr>
          <w:rFonts w:ascii="Times New Roman" w:cs="Times New Roman" w:hAnsi="Times New Roman"/>
          <w:sz w:val="24"/>
          <w:szCs w:val="24"/>
        </w:rPr>
        <w:t>и Оператора системы также представители Минстроя</w:t>
      </w:r>
      <w:r>
        <w:rPr>
          <w:rFonts w:ascii="Times New Roman" w:cs="Times New Roman" w:hAnsi="Times New Roman"/>
          <w:sz w:val="24"/>
          <w:szCs w:val="24"/>
        </w:rPr>
        <w:t xml:space="preserve"> России</w:t>
      </w:r>
      <w:r>
        <w:rPr>
          <w:rFonts w:ascii="Times New Roman" w:cs="Times New Roman" w:hAnsi="Times New Roman"/>
          <w:sz w:val="24"/>
          <w:szCs w:val="24"/>
        </w:rPr>
        <w:t>, профессионального сообщества, независимых компаний, имеющих компетенции в технических вопросах.</w:t>
      </w:r>
    </w:p>
    <w:p>
      <w:pPr>
        <w:pStyle w:val="style179"/>
        <w:numPr>
          <w:ilvl w:val="0"/>
          <w:numId w:val="17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Провести аудит текущего состояния ГИС ЖКХ, в том числе соответствия техническому заданию</w:t>
      </w:r>
      <w:r>
        <w:rPr>
          <w:rFonts w:ascii="Times New Roman" w:cs="Times New Roman" w:hAnsi="Times New Roman"/>
          <w:sz w:val="24"/>
          <w:szCs w:val="24"/>
        </w:rPr>
        <w:t xml:space="preserve"> и</w:t>
      </w:r>
      <w:r>
        <w:rPr>
          <w:rFonts w:ascii="Times New Roman" w:cs="Times New Roman" w:hAnsi="Times New Roman"/>
          <w:sz w:val="24"/>
          <w:szCs w:val="24"/>
        </w:rPr>
        <w:t xml:space="preserve"> соответствия технических решений поставленным задачам, </w:t>
      </w:r>
      <w:r>
        <w:rPr>
          <w:rFonts w:ascii="Times New Roman" w:cs="Times New Roman" w:hAnsi="Times New Roman"/>
          <w:sz w:val="24"/>
          <w:szCs w:val="24"/>
        </w:rPr>
        <w:t xml:space="preserve">в целях </w:t>
      </w:r>
      <w:r>
        <w:rPr>
          <w:rFonts w:ascii="Times New Roman" w:cs="Times New Roman" w:hAnsi="Times New Roman"/>
          <w:sz w:val="24"/>
          <w:szCs w:val="24"/>
        </w:rPr>
        <w:t>принятия решения о возможности промышленной эксплуатации Системы.</w:t>
      </w:r>
    </w:p>
    <w:p>
      <w:pPr>
        <w:pStyle w:val="style179"/>
        <w:numPr>
          <w:ilvl w:val="0"/>
          <w:numId w:val="17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Установить четкие и понятные для обеих сторон (разработчиков и поставщиков информации) требования к запуску</w:t>
      </w:r>
      <w:r>
        <w:rPr>
          <w:rFonts w:ascii="Times New Roman" w:cs="Times New Roman" w:hAnsi="Times New Roman"/>
          <w:sz w:val="24"/>
          <w:szCs w:val="24"/>
        </w:rPr>
        <w:t xml:space="preserve"> С</w:t>
      </w:r>
      <w:r>
        <w:rPr>
          <w:rFonts w:ascii="Times New Roman" w:cs="Times New Roman" w:hAnsi="Times New Roman"/>
          <w:sz w:val="24"/>
          <w:szCs w:val="24"/>
        </w:rPr>
        <w:t>истемы</w:t>
      </w:r>
      <w:r>
        <w:rPr>
          <w:rFonts w:ascii="Times New Roman" w:cs="Times New Roman" w:hAnsi="Times New Roman"/>
          <w:sz w:val="24"/>
          <w:szCs w:val="24"/>
        </w:rPr>
        <w:t>: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</w:p>
    <w:p>
      <w:pPr>
        <w:pStyle w:val="style179"/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 у</w:t>
      </w:r>
      <w:r>
        <w:rPr>
          <w:rFonts w:ascii="Times New Roman" w:cs="Times New Roman" w:hAnsi="Times New Roman"/>
          <w:sz w:val="24"/>
          <w:szCs w:val="24"/>
        </w:rPr>
        <w:t>становить четкие параметры, при которых Система не может считаться готовой</w:t>
      </w:r>
      <w:r>
        <w:rPr>
          <w:rFonts w:ascii="Times New Roman" w:cs="Times New Roman" w:hAnsi="Times New Roman"/>
          <w:sz w:val="24"/>
          <w:szCs w:val="24"/>
        </w:rPr>
        <w:t xml:space="preserve"> к эксплуатации</w:t>
      </w:r>
      <w:r>
        <w:rPr>
          <w:rFonts w:ascii="Times New Roman" w:cs="Times New Roman" w:hAnsi="Times New Roman"/>
          <w:sz w:val="24"/>
          <w:szCs w:val="24"/>
        </w:rPr>
        <w:t xml:space="preserve"> (</w:t>
      </w:r>
      <w:r>
        <w:rPr>
          <w:rFonts w:ascii="Times New Roman" w:cs="Times New Roman" w:hAnsi="Times New Roman"/>
          <w:sz w:val="24"/>
          <w:szCs w:val="24"/>
        </w:rPr>
        <w:t>грубые ошибки С</w:t>
      </w:r>
      <w:r>
        <w:rPr>
          <w:rFonts w:ascii="Times New Roman" w:cs="Times New Roman" w:hAnsi="Times New Roman"/>
          <w:sz w:val="24"/>
          <w:szCs w:val="24"/>
        </w:rPr>
        <w:t xml:space="preserve">истемы, не соответствие реализованного решения требованиям законодательства и (или) сложившейся  </w:t>
      </w:r>
      <w:r>
        <w:rPr>
          <w:rFonts w:ascii="Times New Roman" w:cs="Times New Roman" w:hAnsi="Times New Roman"/>
          <w:sz w:val="24"/>
          <w:szCs w:val="24"/>
        </w:rPr>
        <w:t>практике отношений на рынке ЖКХ, др.);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</w:p>
    <w:p>
      <w:pPr>
        <w:pStyle w:val="style179"/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 т</w:t>
      </w:r>
      <w:r>
        <w:rPr>
          <w:rFonts w:ascii="Times New Roman" w:cs="Times New Roman" w:hAnsi="Times New Roman"/>
          <w:sz w:val="24"/>
          <w:szCs w:val="24"/>
        </w:rPr>
        <w:t xml:space="preserve">естирование </w:t>
      </w:r>
      <w:r>
        <w:rPr>
          <w:rFonts w:ascii="Times New Roman" w:cs="Times New Roman" w:hAnsi="Times New Roman"/>
          <w:sz w:val="24"/>
          <w:szCs w:val="24"/>
        </w:rPr>
        <w:t>С</w:t>
      </w:r>
      <w:r>
        <w:rPr>
          <w:rFonts w:ascii="Times New Roman" w:cs="Times New Roman" w:hAnsi="Times New Roman"/>
          <w:sz w:val="24"/>
          <w:szCs w:val="24"/>
        </w:rPr>
        <w:t xml:space="preserve">истемы должно производиться в течение минимум </w:t>
      </w:r>
      <w:r>
        <w:rPr>
          <w:rFonts w:ascii="Times New Roman" w:cs="Times New Roman" w:hAnsi="Times New Roman"/>
          <w:sz w:val="24"/>
          <w:szCs w:val="24"/>
        </w:rPr>
        <w:t>3-х</w:t>
      </w:r>
      <w:r>
        <w:rPr>
          <w:rFonts w:ascii="Times New Roman" w:cs="Times New Roman" w:hAnsi="Times New Roman"/>
          <w:sz w:val="24"/>
          <w:szCs w:val="24"/>
        </w:rPr>
        <w:t xml:space="preserve"> месяцев на зафиксированной версии. В случае обнаружения грубых ошибок, при которых Система не может эксплуатироваться, тестирование (эксплуатация) ГИС ЖКХ должно быть приостановлено. После устранения ошибок тестирование Системы должно начинаться заново, а срок тестирования должен отсчитываться от даты устранения всех критических ошибок</w:t>
      </w:r>
      <w:r>
        <w:rPr>
          <w:rFonts w:ascii="Times New Roman" w:cs="Times New Roman" w:hAnsi="Times New Roman"/>
          <w:sz w:val="24"/>
          <w:szCs w:val="24"/>
        </w:rPr>
        <w:t>;</w:t>
      </w:r>
    </w:p>
    <w:p>
      <w:pPr>
        <w:pStyle w:val="style179"/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 н</w:t>
      </w:r>
      <w:r>
        <w:rPr>
          <w:rFonts w:ascii="Times New Roman" w:cs="Times New Roman" w:hAnsi="Times New Roman"/>
          <w:sz w:val="24"/>
          <w:szCs w:val="24"/>
        </w:rPr>
        <w:t xml:space="preserve">екритические ошибки или доработки </w:t>
      </w:r>
      <w:r>
        <w:rPr>
          <w:rFonts w:ascii="Times New Roman" w:cs="Times New Roman" w:hAnsi="Times New Roman"/>
          <w:sz w:val="24"/>
          <w:szCs w:val="24"/>
        </w:rPr>
        <w:t>С</w:t>
      </w:r>
      <w:r>
        <w:rPr>
          <w:rFonts w:ascii="Times New Roman" w:cs="Times New Roman" w:hAnsi="Times New Roman"/>
          <w:sz w:val="24"/>
          <w:szCs w:val="24"/>
        </w:rPr>
        <w:t xml:space="preserve">истемы должны исправляться пакетно в следующей версии Системы. </w:t>
      </w:r>
    </w:p>
    <w:p>
      <w:pPr>
        <w:pStyle w:val="style179"/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О подготовке новой версии Системы поставщики информации должны быть проинформированы за </w:t>
      </w:r>
      <w:r>
        <w:rPr>
          <w:rFonts w:ascii="Times New Roman" w:cs="Times New Roman" w:hAnsi="Times New Roman"/>
          <w:sz w:val="24"/>
          <w:szCs w:val="24"/>
        </w:rPr>
        <w:t xml:space="preserve">2 </w:t>
      </w:r>
      <w:r>
        <w:rPr>
          <w:rFonts w:ascii="Times New Roman" w:cs="Times New Roman" w:hAnsi="Times New Roman"/>
          <w:sz w:val="24"/>
          <w:szCs w:val="24"/>
        </w:rPr>
        <w:t xml:space="preserve">недели до выхода версии, в этот же срок на сайте должна быть размещена необходимая техническая документация к этой версии. Тестирование новой версии Системы должно проводиться на тестовом стенде в период не менее </w:t>
      </w:r>
      <w:r>
        <w:rPr>
          <w:rFonts w:ascii="Times New Roman" w:cs="Times New Roman" w:hAnsi="Times New Roman"/>
          <w:sz w:val="24"/>
          <w:szCs w:val="24"/>
        </w:rPr>
        <w:t>3-х</w:t>
      </w:r>
      <w:r>
        <w:rPr>
          <w:rFonts w:ascii="Times New Roman" w:cs="Times New Roman" w:hAnsi="Times New Roman"/>
          <w:sz w:val="24"/>
          <w:szCs w:val="24"/>
        </w:rPr>
        <w:t xml:space="preserve"> месяцев. В отсутствие критических ошибок новой версии Системы она запускается в эксплуатацию на промышленном стенде с предварительным уведомлением поставщиков информации не менее чем за </w:t>
      </w:r>
      <w:r>
        <w:rPr>
          <w:rFonts w:ascii="Times New Roman" w:cs="Times New Roman" w:hAnsi="Times New Roman"/>
          <w:sz w:val="24"/>
          <w:szCs w:val="24"/>
        </w:rPr>
        <w:t>2</w:t>
      </w:r>
      <w:r>
        <w:rPr>
          <w:rFonts w:ascii="Times New Roman" w:cs="Times New Roman" w:hAnsi="Times New Roman"/>
          <w:sz w:val="24"/>
          <w:szCs w:val="24"/>
        </w:rPr>
        <w:t xml:space="preserve"> недели до установки новой версии Системы на промышленном стенде</w:t>
      </w:r>
      <w:r>
        <w:rPr>
          <w:rFonts w:ascii="Times New Roman" w:cs="Times New Roman" w:hAnsi="Times New Roman"/>
          <w:sz w:val="24"/>
          <w:szCs w:val="24"/>
        </w:rPr>
        <w:t>;</w:t>
      </w:r>
    </w:p>
    <w:p>
      <w:pPr>
        <w:pStyle w:val="style179"/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 р</w:t>
      </w:r>
      <w:r>
        <w:rPr>
          <w:rFonts w:ascii="Times New Roman" w:cs="Times New Roman" w:hAnsi="Times New Roman"/>
          <w:sz w:val="24"/>
          <w:szCs w:val="24"/>
        </w:rPr>
        <w:t xml:space="preserve">ешение о необходимости доработки Системы принимается Комиссией. Перечень ошибок, которые явились причиной корректировки Системы, и информация об их устранении должны быть публичными. </w:t>
      </w:r>
    </w:p>
    <w:p>
      <w:pPr>
        <w:pStyle w:val="style179"/>
        <w:numPr>
          <w:ilvl w:val="0"/>
          <w:numId w:val="17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Предусмотреть ответственность Оператора системы за </w:t>
      </w:r>
      <w:r>
        <w:rPr>
          <w:rFonts w:ascii="Times New Roman" w:cs="Times New Roman" w:hAnsi="Times New Roman"/>
          <w:sz w:val="24"/>
          <w:szCs w:val="24"/>
        </w:rPr>
        <w:t xml:space="preserve">технические </w:t>
      </w:r>
      <w:r>
        <w:rPr>
          <w:rFonts w:ascii="Times New Roman" w:cs="Times New Roman" w:hAnsi="Times New Roman"/>
          <w:sz w:val="24"/>
          <w:szCs w:val="24"/>
        </w:rPr>
        <w:t xml:space="preserve">ошибки </w:t>
      </w:r>
      <w:r>
        <w:rPr>
          <w:rFonts w:ascii="Times New Roman" w:cs="Times New Roman" w:hAnsi="Times New Roman"/>
          <w:sz w:val="24"/>
          <w:szCs w:val="24"/>
        </w:rPr>
        <w:t>С</w:t>
      </w:r>
      <w:r>
        <w:rPr>
          <w:rFonts w:ascii="Times New Roman" w:cs="Times New Roman" w:hAnsi="Times New Roman"/>
          <w:sz w:val="24"/>
          <w:szCs w:val="24"/>
        </w:rPr>
        <w:t>истемы.</w:t>
      </w:r>
    </w:p>
    <w:p>
      <w:pPr>
        <w:pStyle w:val="style179"/>
        <w:numPr>
          <w:ilvl w:val="0"/>
          <w:numId w:val="17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Предусмотреть механизмы верификации и восстановления отсутствующих данных в Системе.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Одной из основных проблем в сфере ЖКХ является отсутствие единой «эталонной» базы информации о параметрах жилого фонда. По отдельным объектам такая информация отсутствует у всех поставщиков информации, по другим объектам у разных поставщиков могут быть нескольких вариантов одних и тех же данных.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Для обеспечения эталонности размещаемой в </w:t>
      </w:r>
      <w:r>
        <w:rPr>
          <w:rFonts w:ascii="Times New Roman" w:cs="Times New Roman" w:hAnsi="Times New Roman"/>
          <w:sz w:val="24"/>
          <w:szCs w:val="24"/>
        </w:rPr>
        <w:t>С</w:t>
      </w:r>
      <w:r>
        <w:rPr>
          <w:rFonts w:ascii="Times New Roman" w:cs="Times New Roman" w:hAnsi="Times New Roman"/>
          <w:sz w:val="24"/>
          <w:szCs w:val="24"/>
        </w:rPr>
        <w:t>истеме информации, необходимо не только четко определить источники поступления такой информации, но и определить статус размещаемой информации. Так, информация, размещенная в Системе поставщиком информации, определенным в качестве эталонного, в том числе из иных государственных информационных систем, должна признаваться эталонной. В случае отсутствия такой информации из эталонного источника иные поставщики информации могут размещать свои данные с пометкой «справочно» до момента размещения указанной информации эталонным источником данных.</w:t>
      </w:r>
    </w:p>
    <w:p>
      <w:pPr>
        <w:pStyle w:val="style179"/>
        <w:numPr>
          <w:ilvl w:val="0"/>
          <w:numId w:val="17"/>
        </w:numPr>
        <w:spacing w:after="0" w:lineRule="auto" w:line="240"/>
        <w:ind w:left="0"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Система должна предусматривать процедуры выявления и исправления некорректных данных и механизмы верификации спорных данных.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При этом необходимо обеспечить в Системе механизмы контроля, позволяющие поставщикам информации получать подтверждение о выполнении ими своих обязанностей по размещению информации в </w:t>
      </w:r>
      <w:r>
        <w:rPr>
          <w:rFonts w:ascii="Times New Roman" w:cs="Times New Roman" w:hAnsi="Times New Roman"/>
          <w:sz w:val="24"/>
          <w:szCs w:val="24"/>
        </w:rPr>
        <w:t>С</w:t>
      </w:r>
      <w:r>
        <w:rPr>
          <w:rFonts w:ascii="Times New Roman" w:cs="Times New Roman" w:hAnsi="Times New Roman"/>
          <w:sz w:val="24"/>
          <w:szCs w:val="24"/>
        </w:rPr>
        <w:t>истеме.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cs="Times New Roman" w:hAnsi="Times New Roman"/>
          <w:sz w:val="24"/>
          <w:szCs w:val="24"/>
        </w:rPr>
      </w:pPr>
    </w:p>
    <w:sectPr>
      <w:pgSz w:w="11906" w:h="16838" w:orient="portrait"/>
      <w:pgMar w:top="113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cc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005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cc"/>
    <w:family w:val="roman"/>
    <w:pitch w:val="variable"/>
    <w:sig w:usb0="E00002FF" w:usb1="400004FF" w:usb2="00000000" w:usb3="00000000" w:csb0="0000019F" w:csb1="00000000"/>
  </w:font>
</w:fonts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2"/>
      <w:rPr/>
    </w:pPr>
  </w:p>
</w:ftr>
</file>

<file path=word/footer4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2"/>
      <w:jc w:val="right"/>
      <w:rPr/>
    </w:pPr>
    <w:r>
      <w:rPr/>
      <w:fldChar w:fldCharType="begin"/>
    </w:r>
    <w:r>
      <w:instrText>PAGE   \* MERGEFORMAT</w:instrText>
    </w:r>
    <w:r>
      <w:rPr/>
      <w:fldChar w:fldCharType="separate"/>
    </w:r>
    <w:r>
      <w:rPr>
        <w:noProof/>
      </w:rPr>
      <w:t>1</w:t>
    </w:r>
    <w:r>
      <w:rPr/>
      <w:fldChar w:fldCharType="end"/>
    </w:r>
  </w:p>
  <w:p>
    <w:pPr>
      <w:pStyle w:val="style32"/>
      <w:rPr/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1"/>
      <w:rPr/>
    </w:pPr>
  </w:p>
</w:hdr>
</file>

<file path=word/header2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1"/>
      <w:rPr/>
    </w:pPr>
  </w:p>
</w:hdr>
</file>

<file path=word/header5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DE04BC7A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</w:lvl>
    <w:lvl w:ilvl="2">
      <w:start w:val="1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146" w:hanging="720"/>
      </w:pPr>
    </w:lvl>
    <w:lvl w:ilvl="4">
      <w:start w:val="1"/>
      <w:numFmt w:val="decimal"/>
      <w:isLgl/>
      <w:lvlText w:val="%1.%2.%3.%4.%5."/>
      <w:lvlJc w:val="left"/>
      <w:pPr>
        <w:ind w:left="150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080"/>
      </w:pPr>
    </w:lvl>
    <w:lvl w:ilvl="6">
      <w:start w:val="1"/>
      <w:numFmt w:val="decimal"/>
      <w:isLgl/>
      <w:lvlText w:val="%1.%2.%3.%4.%5.%6.%7."/>
      <w:lvlJc w:val="left"/>
      <w:pPr>
        <w:ind w:left="186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</w:lvl>
  </w:abstractNum>
  <w:abstractNum w:abstractNumId="1">
    <w:nsid w:val="00000001"/>
    <w:multiLevelType w:val="hybridMultilevel"/>
    <w:tmpl w:val="D50CEAA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D0723A68"/>
    <w:lvl w:ilvl="0" w:tplc="A22A8FD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0000003"/>
    <w:multiLevelType w:val="hybridMultilevel"/>
    <w:tmpl w:val="D5A83354"/>
    <w:lvl w:ilvl="0" w:tplc="AF3411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0000004"/>
    <w:multiLevelType w:val="hybridMultilevel"/>
    <w:tmpl w:val="DBAE2D64"/>
    <w:lvl w:ilvl="0" w:tplc="F8CA091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0000005"/>
    <w:multiLevelType w:val="hybridMultilevel"/>
    <w:tmpl w:val="0F988FFA"/>
    <w:lvl w:ilvl="0" w:tplc="FF12EF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0000006"/>
    <w:multiLevelType w:val="hybridMultilevel"/>
    <w:tmpl w:val="AE36EA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296A5464"/>
    <w:lvl w:ilvl="0" w:tplc="041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72" w:hanging="360"/>
      </w:pPr>
      <w:rPr>
        <w:rFonts w:ascii="Courier New" w:cs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32" w:hanging="360"/>
      </w:pPr>
      <w:rPr>
        <w:rFonts w:ascii="Courier New" w:cs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92" w:hanging="360"/>
      </w:pPr>
      <w:rPr>
        <w:rFonts w:ascii="Courier New" w:cs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6232A842"/>
    <w:lvl w:ilvl="0" w:tplc="425637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00000009"/>
    <w:multiLevelType w:val="hybridMultilevel"/>
    <w:tmpl w:val="1BB8A116"/>
    <w:lvl w:ilvl="0" w:tplc="F0D85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0000000A"/>
    <w:multiLevelType w:val="hybridMultilevel"/>
    <w:tmpl w:val="F0C451D2"/>
    <w:lvl w:ilvl="0" w:tplc="8E223A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0000000B"/>
    <w:multiLevelType w:val="hybridMultilevel"/>
    <w:tmpl w:val="378C4A2E"/>
    <w:lvl w:ilvl="0" w:tplc="BCCA1B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000000C"/>
    <w:multiLevelType w:val="multilevel"/>
    <w:tmpl w:val="EA3CC1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0000000D"/>
    <w:multiLevelType w:val="multilevel"/>
    <w:tmpl w:val="5E02D57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0000000E"/>
    <w:multiLevelType w:val="hybridMultilevel"/>
    <w:tmpl w:val="0B840864"/>
    <w:lvl w:ilvl="0" w:tplc="77627C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0000000F"/>
    <w:multiLevelType w:val="hybridMultilevel"/>
    <w:tmpl w:val="1B88A2A2"/>
    <w:lvl w:ilvl="0" w:tplc="1DD4CF74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00000010"/>
    <w:multiLevelType w:val="multilevel"/>
    <w:tmpl w:val="67F24984"/>
    <w:lvl w:ilvl="0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5"/>
  </w:num>
  <w:num w:numId="5">
    <w:abstractNumId w:val="14"/>
  </w:num>
  <w:num w:numId="6">
    <w:abstractNumId w:val="16"/>
  </w:num>
  <w:num w:numId="7">
    <w:abstractNumId w:val="13"/>
  </w:num>
  <w:num w:numId="8">
    <w:abstractNumId w:val="1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  <w:num w:numId="13">
    <w:abstractNumId w:val="6"/>
  </w:num>
  <w:num w:numId="14">
    <w:abstractNumId w:val="9"/>
  </w:num>
  <w:num w:numId="15">
    <w:abstractNumId w:val="8"/>
  </w:num>
  <w:num w:numId="16">
    <w:abstractNumId w:val="7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3">
    <w:name w:val="heading 3"/>
    <w:basedOn w:val="style0"/>
    <w:next w:val="style0"/>
    <w:link w:val="style4102"/>
    <w:qFormat/>
    <w:pPr>
      <w:keepNext/>
      <w:spacing w:after="0" w:lineRule="auto" w:line="480"/>
      <w:ind w:firstLine="709"/>
      <w:outlineLvl w:val="2"/>
    </w:pPr>
    <w:rPr>
      <w:rFonts w:ascii="Times New Roman" w:cs="Times New Roman" w:eastAsia="Times New Roman" w:hAnsi="Times New Roman"/>
      <w:b/>
      <w:bCs/>
      <w:sz w:val="28"/>
      <w:szCs w:val="28"/>
      <w:lang w:eastAsia="ru-RU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94">
    <w:name w:val="Normal (Web)"/>
    <w:basedOn w:val="style0"/>
    <w:next w:val="style94"/>
    <w:uiPriority w:val="99"/>
    <w:pPr>
      <w:spacing w:after="130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Текст выноски Знак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  <w:style w:type="character" w:customStyle="1" w:styleId="style4098">
    <w:name w:val="Font Style13"/>
    <w:basedOn w:val="style65"/>
    <w:next w:val="style4098"/>
    <w:uiPriority w:val="99"/>
    <w:rPr>
      <w:rFonts w:ascii="Times New Roman" w:cs="Times New Roman" w:hAnsi="Times New Roman"/>
      <w:sz w:val="26"/>
      <w:szCs w:val="26"/>
    </w:rPr>
  </w:style>
  <w:style w:type="paragraph" w:customStyle="1" w:styleId="style4099">
    <w:name w:val="Style4"/>
    <w:basedOn w:val="style0"/>
    <w:next w:val="style4099"/>
    <w:uiPriority w:val="99"/>
    <w:pPr>
      <w:widowControl w:val="false"/>
      <w:autoSpaceDE w:val="false"/>
      <w:autoSpaceDN w:val="false"/>
      <w:adjustRightInd w:val="false"/>
      <w:spacing w:after="0" w:lineRule="exact" w:line="321"/>
      <w:ind w:firstLine="540"/>
      <w:jc w:val="both"/>
    </w:pPr>
    <w:rPr>
      <w:rFonts w:ascii="Times New Roman" w:cs="Times New Roman" w:eastAsia="宋体" w:hAnsi="Times New Roman"/>
      <w:sz w:val="24"/>
      <w:szCs w:val="24"/>
      <w:lang w:eastAsia="ru-RU"/>
    </w:rPr>
  </w:style>
  <w:style w:type="paragraph" w:customStyle="1" w:styleId="style4100">
    <w:name w:val="Plain Text2"/>
    <w:basedOn w:val="style0"/>
    <w:next w:val="style4100"/>
    <w:pPr>
      <w:spacing w:after="0" w:lineRule="auto" w:line="360"/>
      <w:ind w:firstLine="720"/>
      <w:jc w:val="both"/>
    </w:pPr>
    <w:rPr>
      <w:rFonts w:ascii="Times New Roman" w:cs="Times New Roman" w:eastAsia="Times New Roman" w:hAnsi="Times New Roman"/>
      <w:sz w:val="28"/>
      <w:szCs w:val="20"/>
      <w:lang w:eastAsia="ru-RU"/>
    </w:rPr>
  </w:style>
  <w:style w:type="paragraph" w:customStyle="1" w:styleId="style4101">
    <w:name w:val="ConsPlusNormal"/>
    <w:next w:val="style4101"/>
    <w:pPr>
      <w:autoSpaceDE w:val="false"/>
      <w:autoSpaceDN w:val="false"/>
      <w:adjustRightInd w:val="false"/>
      <w:spacing w:after="0" w:lineRule="auto" w:line="240"/>
    </w:pPr>
    <w:rPr>
      <w:rFonts w:ascii="Times New Roman" w:cs="Times New Roman" w:eastAsia="Calibri" w:hAnsi="Times New Roman"/>
      <w:sz w:val="28"/>
      <w:szCs w:val="28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>
      <w:rFonts w:ascii="Calibri" w:cs="Times New Roman" w:eastAsia="Calibri" w:hAnsi="Calibri"/>
    </w:rPr>
  </w:style>
  <w:style w:type="character" w:customStyle="1" w:styleId="style4102">
    <w:name w:val="Заголовок 3 Знак"/>
    <w:basedOn w:val="style65"/>
    <w:next w:val="style4102"/>
    <w:link w:val="style3"/>
    <w:rPr>
      <w:rFonts w:ascii="Times New Roman" w:cs="Times New Roman" w:eastAsia="Times New Roman" w:hAnsi="Times New Roman"/>
      <w:b/>
      <w:bCs/>
      <w:sz w:val="28"/>
      <w:szCs w:val="28"/>
      <w:lang w:eastAsia="ru-RU"/>
    </w:rPr>
  </w:style>
  <w:style w:type="paragraph" w:styleId="style31">
    <w:name w:val="header"/>
    <w:basedOn w:val="style0"/>
    <w:next w:val="style31"/>
    <w:link w:val="style4103"/>
    <w:uiPriority w:val="99"/>
    <w:pPr>
      <w:tabs>
        <w:tab w:val="center" w:leader="none" w:pos="4677"/>
        <w:tab w:val="right" w:leader="none" w:pos="9355"/>
      </w:tabs>
      <w:spacing w:after="0" w:lineRule="auto" w:line="240"/>
    </w:pPr>
    <w:rPr/>
  </w:style>
  <w:style w:type="character" w:customStyle="1" w:styleId="style4103">
    <w:name w:val="Верхний колонтитул Знак"/>
    <w:basedOn w:val="style65"/>
    <w:next w:val="style4103"/>
    <w:link w:val="style31"/>
    <w:uiPriority w:val="99"/>
  </w:style>
  <w:style w:type="paragraph" w:styleId="style32">
    <w:name w:val="footer"/>
    <w:basedOn w:val="style0"/>
    <w:next w:val="style32"/>
    <w:link w:val="style4104"/>
    <w:uiPriority w:val="99"/>
    <w:pPr>
      <w:tabs>
        <w:tab w:val="center" w:leader="none" w:pos="4677"/>
        <w:tab w:val="right" w:leader="none" w:pos="9355"/>
      </w:tabs>
      <w:spacing w:after="0" w:lineRule="auto" w:line="240"/>
    </w:pPr>
    <w:rPr/>
  </w:style>
  <w:style w:type="character" w:customStyle="1" w:styleId="style4104">
    <w:name w:val="Нижний колонтитул Знак"/>
    <w:basedOn w:val="style65"/>
    <w:next w:val="style4104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header" Target="header1.xml"/><Relationship Id="rId1" Type="http://schemas.openxmlformats.org/officeDocument/2006/relationships/numbering" Target="numbering.xml"/><Relationship Id="rId4" Type="http://schemas.openxmlformats.org/officeDocument/2006/relationships/footer" Target="footer3.xml"/><Relationship Id="rId10" Type="http://schemas.openxmlformats.org/officeDocument/2006/relationships/theme" Target="theme/theme1.xml"/><Relationship Id="rId3" Type="http://schemas.openxmlformats.org/officeDocument/2006/relationships/header" Target="header2.xml"/><Relationship Id="rId11" Type="http://schemas.openxmlformats.org/officeDocument/2006/relationships/customXml" Target="../customXml/item1.xml"/><Relationship Id="rId9" Type="http://schemas.openxmlformats.org/officeDocument/2006/relationships/settings" Target="settings.xml"/><Relationship Id="rId6" Type="http://schemas.openxmlformats.org/officeDocument/2006/relationships/header" Target="header5.xml"/><Relationship Id="rId5" Type="http://schemas.openxmlformats.org/officeDocument/2006/relationships/footer" Target="footer4.xml"/><Relationship Id="rId8" Type="http://schemas.openxmlformats.org/officeDocument/2006/relationships/fontTable" Target="fontTable.xml"/><Relationship Id="rId7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30BB2-D69E-4DDD-B025-F0E576AB9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Words>5860</Words>
  <Pages>17</Pages>
  <Characters>41173</Characters>
  <Application>WPS Office</Application>
  <DocSecurity>0</DocSecurity>
  <Paragraphs>344</Paragraphs>
  <ScaleCrop>false</ScaleCrop>
  <Company>IES-HOLDING</Company>
  <LinksUpToDate>false</LinksUpToDate>
  <CharactersWithSpaces>47036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2017-09-08T12:17:00Z</dcterms:created>
  <dc:creator>Z</dc:creator>
  <lastModifiedBy>ALCATEL ONE TOUCH P320X</lastModifiedBy>
  <lastPrinted>2017-09-04T11:54:00Z</lastPrinted>
  <dcterms:modified xsi:type="dcterms:W3CDTF">2017-10-13T06:48:09Z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